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bookmarkStart w:id="0" w:name="_GoBack"/>
    </w:p>
    <w:p w:rsidR="00FF0F51" w:rsidRDefault="00FF0F51" w:rsidP="00FF0F51">
      <w:pPr>
        <w:pStyle w:val="berschrift1"/>
        <w:rPr>
          <w:rFonts w:cs="Arial"/>
        </w:rPr>
      </w:pPr>
      <w:r>
        <w:rPr>
          <w:rFonts w:cs="Arial"/>
        </w:rPr>
        <w:t xml:space="preserve">Antrag Nr. </w:t>
      </w:r>
      <w:r w:rsidR="00DB7608">
        <w:rPr>
          <w:rFonts w:cs="Arial"/>
        </w:rPr>
        <w:t>1</w:t>
      </w:r>
      <w:r w:rsidR="00B80D6F">
        <w:rPr>
          <w:rFonts w:cs="Arial"/>
        </w:rPr>
        <w:t>4</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812477">
        <w:rPr>
          <w:rFonts w:ascii="Arial" w:hAnsi="Arial" w:cs="Arial"/>
          <w:sz w:val="20"/>
        </w:rPr>
        <w:t>163.</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812477">
        <w:rPr>
          <w:rFonts w:ascii="Arial" w:hAnsi="Arial" w:cs="Arial"/>
          <w:sz w:val="20"/>
        </w:rPr>
        <w:t>29.</w:t>
      </w:r>
      <w:r w:rsidR="00621D1C">
        <w:rPr>
          <w:rFonts w:ascii="Arial" w:hAnsi="Arial" w:cs="Arial"/>
          <w:sz w:val="20"/>
        </w:rPr>
        <w:t xml:space="preserve"> Oktober </w:t>
      </w:r>
      <w:r w:rsidR="00812477">
        <w:rPr>
          <w:rFonts w:ascii="Arial" w:hAnsi="Arial" w:cs="Arial"/>
          <w:sz w:val="20"/>
        </w:rPr>
        <w:t>2014</w:t>
      </w:r>
    </w:p>
    <w:p w:rsidR="00FF0F51" w:rsidRDefault="00FF0F51" w:rsidP="00FF0F51">
      <w:pPr>
        <w:spacing w:line="280" w:lineRule="exact"/>
        <w:jc w:val="center"/>
        <w:rPr>
          <w:rFonts w:ascii="Arial" w:hAnsi="Arial" w:cs="Arial"/>
          <w:sz w:val="20"/>
        </w:rPr>
      </w:pPr>
    </w:p>
    <w:p w:rsidR="00F87E2A" w:rsidRDefault="00F87E2A" w:rsidP="00FF0F51">
      <w:pPr>
        <w:pStyle w:val="berschrift1"/>
        <w:rPr>
          <w:rFonts w:cs="Arial"/>
          <w:caps/>
        </w:rPr>
      </w:pPr>
      <w:r>
        <w:rPr>
          <w:rFonts w:cs="Arial"/>
          <w:caps/>
        </w:rPr>
        <w:t xml:space="preserve">Kurswechsel in der Europäischen Handelspolitik: </w:t>
      </w:r>
    </w:p>
    <w:p w:rsidR="00FF0F51" w:rsidRDefault="00F87E2A" w:rsidP="00FF0F51">
      <w:pPr>
        <w:pStyle w:val="berschrift1"/>
        <w:rPr>
          <w:rFonts w:cs="Arial"/>
          <w:caps/>
        </w:rPr>
      </w:pPr>
      <w:r>
        <w:rPr>
          <w:rFonts w:cs="Arial"/>
          <w:caps/>
        </w:rPr>
        <w:t>Sozial, Ökologisch, Demokratisch</w:t>
      </w:r>
    </w:p>
    <w:p w:rsidR="0018667C" w:rsidRPr="00FF0F51" w:rsidRDefault="0018667C"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A725B3" w:rsidRDefault="006746E0" w:rsidP="006746E0">
      <w:pPr>
        <w:spacing w:line="280" w:lineRule="exact"/>
        <w:jc w:val="both"/>
        <w:rPr>
          <w:rFonts w:ascii="Arial" w:hAnsi="Arial" w:cs="Arial"/>
          <w:sz w:val="20"/>
          <w:szCs w:val="20"/>
        </w:rPr>
      </w:pPr>
      <w:r w:rsidRPr="00A31B8E">
        <w:rPr>
          <w:rFonts w:ascii="Arial" w:hAnsi="Arial" w:cs="Arial"/>
          <w:sz w:val="20"/>
          <w:szCs w:val="20"/>
        </w:rPr>
        <w:t xml:space="preserve">Die Verhandlungen zur Transatlantischen Handels- und Investitionspartnerschaft (TTIP) wurden im Sommer 2013 aufgenommen und </w:t>
      </w:r>
      <w:r w:rsidR="0010201E" w:rsidRPr="00A31B8E">
        <w:rPr>
          <w:rFonts w:ascii="Arial" w:hAnsi="Arial" w:cs="Arial"/>
          <w:sz w:val="20"/>
          <w:szCs w:val="20"/>
        </w:rPr>
        <w:t>werden seitens</w:t>
      </w:r>
      <w:r w:rsidRPr="00A31B8E">
        <w:rPr>
          <w:rFonts w:ascii="Arial" w:hAnsi="Arial" w:cs="Arial"/>
          <w:sz w:val="20"/>
          <w:szCs w:val="20"/>
        </w:rPr>
        <w:t xml:space="preserve"> der EU von der </w:t>
      </w:r>
      <w:r w:rsidR="0010201E" w:rsidRPr="00A31B8E">
        <w:rPr>
          <w:rFonts w:ascii="Arial" w:hAnsi="Arial" w:cs="Arial"/>
          <w:sz w:val="20"/>
          <w:szCs w:val="20"/>
        </w:rPr>
        <w:t xml:space="preserve">Europäischen </w:t>
      </w:r>
      <w:r w:rsidRPr="00A31B8E">
        <w:rPr>
          <w:rFonts w:ascii="Arial" w:hAnsi="Arial" w:cs="Arial"/>
          <w:sz w:val="20"/>
          <w:szCs w:val="20"/>
        </w:rPr>
        <w:t xml:space="preserve">Kommission geführt. </w:t>
      </w:r>
      <w:r w:rsidR="003C16FA" w:rsidRPr="00A31B8E">
        <w:rPr>
          <w:rFonts w:ascii="Arial" w:hAnsi="Arial" w:cs="Arial"/>
          <w:sz w:val="20"/>
          <w:szCs w:val="20"/>
        </w:rPr>
        <w:t>Es gab bisher sechs Verhandlungsrunden, zuletzt im Juli dieses Jahres.</w:t>
      </w:r>
      <w:r w:rsidRPr="00A31B8E">
        <w:rPr>
          <w:rFonts w:ascii="Arial" w:hAnsi="Arial" w:cs="Arial"/>
          <w:sz w:val="20"/>
          <w:szCs w:val="20"/>
        </w:rPr>
        <w:t xml:space="preserve"> </w:t>
      </w:r>
      <w:r w:rsidR="000D76E2" w:rsidRPr="00A31B8E">
        <w:rPr>
          <w:rFonts w:ascii="Arial" w:hAnsi="Arial" w:cs="Arial"/>
          <w:sz w:val="20"/>
          <w:szCs w:val="20"/>
        </w:rPr>
        <w:t xml:space="preserve">Ziel </w:t>
      </w:r>
      <w:r w:rsidRPr="00A31B8E">
        <w:rPr>
          <w:rFonts w:ascii="Arial" w:hAnsi="Arial" w:cs="Arial"/>
          <w:sz w:val="20"/>
          <w:szCs w:val="20"/>
        </w:rPr>
        <w:t xml:space="preserve">des Abkommens ist unter anderem </w:t>
      </w:r>
      <w:r w:rsidR="0010201E" w:rsidRPr="00A31B8E">
        <w:rPr>
          <w:rFonts w:ascii="Arial" w:hAnsi="Arial" w:cs="Arial"/>
          <w:sz w:val="20"/>
          <w:szCs w:val="20"/>
        </w:rPr>
        <w:t>eine umfassende Liberalisierung</w:t>
      </w:r>
      <w:r w:rsidRPr="00A31B8E">
        <w:rPr>
          <w:rFonts w:ascii="Arial" w:hAnsi="Arial" w:cs="Arial"/>
          <w:sz w:val="20"/>
          <w:szCs w:val="20"/>
        </w:rPr>
        <w:t xml:space="preserve"> </w:t>
      </w:r>
      <w:r w:rsidR="0010201E" w:rsidRPr="00A31B8E">
        <w:rPr>
          <w:rFonts w:ascii="Arial" w:hAnsi="Arial" w:cs="Arial"/>
          <w:sz w:val="20"/>
          <w:szCs w:val="20"/>
        </w:rPr>
        <w:t>des</w:t>
      </w:r>
      <w:r w:rsidRPr="00A31B8E">
        <w:rPr>
          <w:rFonts w:ascii="Arial" w:hAnsi="Arial" w:cs="Arial"/>
          <w:sz w:val="20"/>
          <w:szCs w:val="20"/>
        </w:rPr>
        <w:t xml:space="preserve"> Handels mit Industriegütern, landwirtschaftlichen Gütern und Dienstleistungen und der Vergabe öffentlicher Aufträge. </w:t>
      </w:r>
      <w:r w:rsidR="003C16FA" w:rsidRPr="00A31B8E">
        <w:rPr>
          <w:rFonts w:ascii="Arial" w:hAnsi="Arial" w:cs="Arial"/>
          <w:sz w:val="20"/>
          <w:szCs w:val="20"/>
        </w:rPr>
        <w:t>Darüber hinaus soll der gegenseitige Marktzugang zwischen der EU und den USA über den Abbau sog</w:t>
      </w:r>
      <w:r w:rsidR="0010201E" w:rsidRPr="00A31B8E">
        <w:rPr>
          <w:rFonts w:ascii="Arial" w:hAnsi="Arial" w:cs="Arial"/>
          <w:sz w:val="20"/>
          <w:szCs w:val="20"/>
        </w:rPr>
        <w:t>enannter</w:t>
      </w:r>
      <w:r w:rsidR="003C16FA" w:rsidRPr="00A31B8E">
        <w:rPr>
          <w:rFonts w:ascii="Arial" w:hAnsi="Arial" w:cs="Arial"/>
          <w:sz w:val="20"/>
          <w:szCs w:val="20"/>
        </w:rPr>
        <w:t xml:space="preserve"> „nichttarifärer Handelshemmnisse“ (ua </w:t>
      </w:r>
      <w:r w:rsidR="0010201E" w:rsidRPr="00A31B8E">
        <w:rPr>
          <w:rFonts w:ascii="Arial" w:hAnsi="Arial" w:cs="Arial"/>
          <w:sz w:val="20"/>
          <w:szCs w:val="20"/>
        </w:rPr>
        <w:t xml:space="preserve">Unterschiede bei </w:t>
      </w:r>
      <w:r w:rsidR="003C16FA" w:rsidRPr="00A31B8E">
        <w:rPr>
          <w:rFonts w:ascii="Arial" w:hAnsi="Arial" w:cs="Arial"/>
          <w:sz w:val="20"/>
          <w:szCs w:val="20"/>
        </w:rPr>
        <w:t>Regulierungen, Vorschriften</w:t>
      </w:r>
      <w:r w:rsidR="0010201E" w:rsidRPr="00A31B8E">
        <w:rPr>
          <w:rFonts w:ascii="Arial" w:hAnsi="Arial" w:cs="Arial"/>
          <w:sz w:val="20"/>
          <w:szCs w:val="20"/>
        </w:rPr>
        <w:t xml:space="preserve"> oder </w:t>
      </w:r>
      <w:r w:rsidR="003C16FA" w:rsidRPr="00A31B8E">
        <w:rPr>
          <w:rFonts w:ascii="Arial" w:hAnsi="Arial" w:cs="Arial"/>
          <w:sz w:val="20"/>
          <w:szCs w:val="20"/>
        </w:rPr>
        <w:t>Standa</w:t>
      </w:r>
      <w:r w:rsidR="0010201E" w:rsidRPr="00A31B8E">
        <w:rPr>
          <w:rFonts w:ascii="Arial" w:hAnsi="Arial" w:cs="Arial"/>
          <w:sz w:val="20"/>
          <w:szCs w:val="20"/>
        </w:rPr>
        <w:t>r</w:t>
      </w:r>
      <w:r w:rsidR="003C16FA" w:rsidRPr="00A31B8E">
        <w:rPr>
          <w:rFonts w:ascii="Arial" w:hAnsi="Arial" w:cs="Arial"/>
          <w:sz w:val="20"/>
          <w:szCs w:val="20"/>
        </w:rPr>
        <w:t xml:space="preserve">ds) erleichtert werden. Das Abkommen sieht Investitionsschutzbestimmungen vor und auch der Schutz geistiger Eigentumsrechte soll mit TTIP vorangetrieben werden. </w:t>
      </w:r>
    </w:p>
    <w:p w:rsidR="00A725B3" w:rsidRDefault="00A725B3" w:rsidP="006746E0">
      <w:pPr>
        <w:spacing w:line="280" w:lineRule="exact"/>
        <w:jc w:val="both"/>
        <w:rPr>
          <w:rFonts w:ascii="Arial" w:hAnsi="Arial" w:cs="Arial"/>
          <w:sz w:val="20"/>
          <w:szCs w:val="20"/>
        </w:rPr>
      </w:pPr>
    </w:p>
    <w:p w:rsidR="006746E0" w:rsidRPr="004F5C68" w:rsidRDefault="006746E0" w:rsidP="006746E0">
      <w:pPr>
        <w:spacing w:line="280" w:lineRule="exact"/>
        <w:jc w:val="both"/>
        <w:rPr>
          <w:rFonts w:ascii="Arial" w:hAnsi="Arial" w:cs="Arial"/>
          <w:i/>
          <w:color w:val="C00000"/>
          <w:sz w:val="20"/>
          <w:szCs w:val="20"/>
          <w:u w:val="single"/>
        </w:rPr>
      </w:pPr>
      <w:r w:rsidRPr="00A31B8E">
        <w:rPr>
          <w:rFonts w:ascii="Arial" w:hAnsi="Arial" w:cs="Arial"/>
          <w:sz w:val="20"/>
          <w:szCs w:val="20"/>
        </w:rPr>
        <w:t xml:space="preserve">Das Abkommen ist aufgrund der intransparenten Verhandlungen, zahlreicher Bedenken bezüglich der Verhandlungsinhalte und möglicher negativer Auswirkungen auf KonsumentInnen, ArbeitnehmerInnen und </w:t>
      </w:r>
      <w:r w:rsidR="0010201E" w:rsidRPr="00A31B8E">
        <w:rPr>
          <w:rFonts w:ascii="Arial" w:hAnsi="Arial" w:cs="Arial"/>
          <w:sz w:val="20"/>
          <w:szCs w:val="20"/>
        </w:rPr>
        <w:t xml:space="preserve">die </w:t>
      </w:r>
      <w:r w:rsidRPr="00A31B8E">
        <w:rPr>
          <w:rFonts w:ascii="Arial" w:hAnsi="Arial" w:cs="Arial"/>
          <w:sz w:val="20"/>
          <w:szCs w:val="20"/>
        </w:rPr>
        <w:t xml:space="preserve">Umwelt in der öffentlichen Diskussion </w:t>
      </w:r>
      <w:r w:rsidR="0010201E" w:rsidRPr="00A31B8E">
        <w:rPr>
          <w:rFonts w:ascii="Arial" w:hAnsi="Arial" w:cs="Arial"/>
          <w:sz w:val="20"/>
          <w:szCs w:val="20"/>
        </w:rPr>
        <w:t xml:space="preserve">stark </w:t>
      </w:r>
      <w:r w:rsidRPr="00A31B8E">
        <w:rPr>
          <w:rFonts w:ascii="Arial" w:hAnsi="Arial" w:cs="Arial"/>
          <w:sz w:val="20"/>
          <w:szCs w:val="20"/>
        </w:rPr>
        <w:t>in die Kritik geraten.</w:t>
      </w:r>
      <w:r w:rsidR="004A1D3E">
        <w:rPr>
          <w:rFonts w:ascii="Arial" w:hAnsi="Arial" w:cs="Arial"/>
          <w:sz w:val="20"/>
          <w:szCs w:val="20"/>
        </w:rPr>
        <w:t xml:space="preserve"> </w:t>
      </w:r>
      <w:r w:rsidR="00A725B3" w:rsidRPr="00A725B3">
        <w:rPr>
          <w:rFonts w:ascii="Arial" w:hAnsi="Arial" w:cs="Arial"/>
          <w:i/>
          <w:sz w:val="20"/>
          <w:szCs w:val="20"/>
          <w:u w:val="single"/>
        </w:rPr>
        <w:t>Die im Folgenden für das TTIP angeführten Kritikpunkte müssen auch für weitere Freihandelsabkommen gelten, die derzeit im Fokus der Diskussion stehen</w:t>
      </w:r>
      <w:r w:rsidR="00A725B3" w:rsidRPr="004F5C68">
        <w:rPr>
          <w:rFonts w:ascii="Arial" w:hAnsi="Arial" w:cs="Arial"/>
          <w:i/>
          <w:strike/>
          <w:color w:val="FF0000"/>
          <w:sz w:val="20"/>
          <w:szCs w:val="20"/>
          <w:u w:val="single"/>
        </w:rPr>
        <w:t>:</w:t>
      </w:r>
      <w:r w:rsidR="004F5C68" w:rsidRPr="004F5C68">
        <w:rPr>
          <w:rFonts w:ascii="Arial" w:hAnsi="Arial" w:cs="Arial"/>
          <w:i/>
          <w:color w:val="FF0000"/>
          <w:sz w:val="20"/>
          <w:szCs w:val="20"/>
          <w:u w:val="single"/>
        </w:rPr>
        <w:t xml:space="preserve"> -</w:t>
      </w:r>
      <w:r w:rsidR="00A725B3" w:rsidRPr="004F5C68">
        <w:rPr>
          <w:rFonts w:ascii="Arial" w:hAnsi="Arial" w:cs="Arial"/>
          <w:i/>
          <w:color w:val="FF0000"/>
          <w:sz w:val="20"/>
          <w:szCs w:val="20"/>
          <w:u w:val="single"/>
        </w:rPr>
        <w:t xml:space="preserve"> </w:t>
      </w:r>
      <w:r w:rsidR="00A725B3" w:rsidRPr="00A725B3">
        <w:rPr>
          <w:rFonts w:ascii="Arial" w:hAnsi="Arial" w:cs="Arial"/>
          <w:i/>
          <w:sz w:val="20"/>
          <w:szCs w:val="20"/>
          <w:u w:val="single"/>
        </w:rPr>
        <w:t>wie insb</w:t>
      </w:r>
      <w:r w:rsidR="00A725B3">
        <w:rPr>
          <w:rFonts w:ascii="Arial" w:hAnsi="Arial" w:cs="Arial"/>
          <w:i/>
          <w:sz w:val="20"/>
          <w:szCs w:val="20"/>
          <w:u w:val="single"/>
        </w:rPr>
        <w:t>esondere</w:t>
      </w:r>
      <w:r w:rsidR="00A725B3" w:rsidRPr="00A725B3">
        <w:rPr>
          <w:rFonts w:ascii="Arial" w:hAnsi="Arial" w:cs="Arial"/>
          <w:i/>
          <w:sz w:val="20"/>
          <w:szCs w:val="20"/>
          <w:u w:val="single"/>
        </w:rPr>
        <w:t xml:space="preserve"> das „Europäisch-Kanadische-Freihandelsabkommen</w:t>
      </w:r>
      <w:proofErr w:type="gramStart"/>
      <w:r w:rsidR="00A725B3">
        <w:rPr>
          <w:rFonts w:ascii="Arial" w:hAnsi="Arial" w:cs="Arial"/>
          <w:i/>
          <w:sz w:val="20"/>
          <w:szCs w:val="20"/>
          <w:u w:val="single"/>
        </w:rPr>
        <w:t>“</w:t>
      </w:r>
      <w:r w:rsidR="004F5C68">
        <w:rPr>
          <w:rFonts w:ascii="Arial" w:hAnsi="Arial" w:cs="Arial"/>
          <w:i/>
          <w:sz w:val="20"/>
          <w:szCs w:val="20"/>
          <w:u w:val="single"/>
        </w:rPr>
        <w:t xml:space="preserve"> </w:t>
      </w:r>
      <w:r w:rsidR="00A725B3" w:rsidRPr="004F5C68">
        <w:rPr>
          <w:rFonts w:ascii="Arial" w:hAnsi="Arial" w:cs="Arial"/>
          <w:i/>
          <w:strike/>
          <w:color w:val="FF0000"/>
          <w:sz w:val="20"/>
          <w:szCs w:val="20"/>
          <w:u w:val="single"/>
        </w:rPr>
        <w:t>,</w:t>
      </w:r>
      <w:proofErr w:type="gramEnd"/>
      <w:r w:rsidR="004F5C68" w:rsidRPr="004F5C68">
        <w:rPr>
          <w:rFonts w:ascii="Arial" w:hAnsi="Arial" w:cs="Arial"/>
          <w:i/>
          <w:color w:val="FF0000"/>
          <w:sz w:val="20"/>
          <w:szCs w:val="20"/>
          <w:u w:val="single"/>
        </w:rPr>
        <w:t xml:space="preserve"> und</w:t>
      </w:r>
      <w:r w:rsidR="00A725B3" w:rsidRPr="004F5C68">
        <w:rPr>
          <w:rFonts w:ascii="Arial" w:hAnsi="Arial" w:cs="Arial"/>
          <w:i/>
          <w:color w:val="FF0000"/>
          <w:sz w:val="20"/>
          <w:szCs w:val="20"/>
          <w:u w:val="single"/>
        </w:rPr>
        <w:t xml:space="preserve"> </w:t>
      </w:r>
      <w:r w:rsidR="00A725B3" w:rsidRPr="00A725B3">
        <w:rPr>
          <w:rFonts w:ascii="Arial" w:hAnsi="Arial" w:cs="Arial"/>
          <w:i/>
          <w:sz w:val="20"/>
          <w:szCs w:val="20"/>
          <w:u w:val="single"/>
        </w:rPr>
        <w:t>die sich aktuell in unterschiedlichen Verhandlungsstadien befinden. Alle diese Abkommen vereinen zahlreiche Verhandlungspunkte, die für die ArbeitnehmerInnen und KonsumentInnen aus sozialen, ökologischen und demokratiepolitischen Gründen mehr als bedenklich sind:</w:t>
      </w:r>
    </w:p>
    <w:p w:rsidR="006746E0" w:rsidRPr="00A31B8E" w:rsidRDefault="006746E0" w:rsidP="006746E0">
      <w:pPr>
        <w:spacing w:line="280" w:lineRule="exact"/>
        <w:contextualSpacing/>
        <w:jc w:val="both"/>
        <w:rPr>
          <w:rFonts w:ascii="Arial" w:hAnsi="Arial" w:cs="Arial"/>
          <w:bCs/>
          <w:sz w:val="20"/>
          <w:szCs w:val="20"/>
          <w:lang w:eastAsia="de-AT"/>
        </w:rPr>
      </w:pPr>
    </w:p>
    <w:p w:rsidR="006B1994" w:rsidRPr="00A31B8E" w:rsidRDefault="0078223F" w:rsidP="0078223F">
      <w:pPr>
        <w:spacing w:line="280" w:lineRule="exact"/>
        <w:contextualSpacing/>
        <w:jc w:val="both"/>
        <w:rPr>
          <w:rFonts w:ascii="Arial" w:hAnsi="Arial" w:cs="Arial"/>
          <w:b/>
          <w:bCs/>
          <w:sz w:val="20"/>
          <w:szCs w:val="20"/>
          <w:lang w:eastAsia="de-AT"/>
        </w:rPr>
      </w:pPr>
      <w:r w:rsidRPr="00A31B8E">
        <w:rPr>
          <w:rFonts w:ascii="Arial" w:hAnsi="Arial" w:cs="Arial"/>
          <w:b/>
          <w:bCs/>
          <w:sz w:val="20"/>
          <w:szCs w:val="20"/>
          <w:lang w:eastAsia="de-AT"/>
        </w:rPr>
        <w:t>Wachstums- und Beschäftigungsaussichten</w:t>
      </w:r>
      <w:r w:rsidR="006B1994" w:rsidRPr="00A31B8E">
        <w:rPr>
          <w:rFonts w:ascii="Arial" w:hAnsi="Arial" w:cs="Arial"/>
          <w:b/>
          <w:bCs/>
          <w:sz w:val="20"/>
          <w:szCs w:val="20"/>
          <w:lang w:eastAsia="de-AT"/>
        </w:rPr>
        <w:t xml:space="preserve"> sind</w:t>
      </w:r>
      <w:r w:rsidR="002E0042" w:rsidRPr="00A31B8E">
        <w:rPr>
          <w:rFonts w:ascii="Arial" w:hAnsi="Arial" w:cs="Arial"/>
          <w:b/>
          <w:bCs/>
          <w:sz w:val="20"/>
          <w:szCs w:val="20"/>
          <w:lang w:eastAsia="de-AT"/>
        </w:rPr>
        <w:t xml:space="preserve"> </w:t>
      </w:r>
      <w:r w:rsidR="0022799E" w:rsidRPr="00A31B8E">
        <w:rPr>
          <w:rFonts w:ascii="Arial" w:hAnsi="Arial" w:cs="Arial"/>
          <w:b/>
          <w:bCs/>
          <w:sz w:val="20"/>
          <w:szCs w:val="20"/>
          <w:lang w:eastAsia="de-AT"/>
        </w:rPr>
        <w:t xml:space="preserve">bestenfalls </w:t>
      </w:r>
      <w:r w:rsidR="002E0042" w:rsidRPr="00A31B8E">
        <w:rPr>
          <w:rFonts w:ascii="Arial" w:hAnsi="Arial" w:cs="Arial"/>
          <w:b/>
          <w:bCs/>
          <w:sz w:val="20"/>
          <w:szCs w:val="20"/>
          <w:lang w:eastAsia="de-AT"/>
        </w:rPr>
        <w:t>bescheiden</w:t>
      </w:r>
    </w:p>
    <w:p w:rsidR="002E0042" w:rsidRPr="00A31B8E" w:rsidRDefault="0078223F" w:rsidP="002F2569">
      <w:pPr>
        <w:spacing w:line="280" w:lineRule="exact"/>
        <w:contextualSpacing/>
        <w:jc w:val="both"/>
        <w:rPr>
          <w:rFonts w:ascii="Arial" w:hAnsi="Arial" w:cs="Arial"/>
          <w:bCs/>
          <w:sz w:val="20"/>
          <w:szCs w:val="20"/>
          <w:lang w:eastAsia="de-AT"/>
        </w:rPr>
      </w:pPr>
      <w:r w:rsidRPr="00A31B8E">
        <w:rPr>
          <w:rFonts w:ascii="Arial" w:hAnsi="Arial" w:cs="Arial"/>
          <w:bCs/>
          <w:sz w:val="20"/>
          <w:szCs w:val="20"/>
          <w:lang w:val="de-AT" w:eastAsia="de-AT"/>
        </w:rPr>
        <w:t>Die EU-Kommission bewirbt TTIP als Motor für Wachstum und Beschäftigung</w:t>
      </w:r>
      <w:r w:rsidR="000D76E2" w:rsidRPr="00A31B8E">
        <w:rPr>
          <w:rFonts w:ascii="Arial" w:hAnsi="Arial" w:cs="Arial"/>
          <w:bCs/>
          <w:sz w:val="20"/>
          <w:szCs w:val="20"/>
          <w:lang w:val="de-AT" w:eastAsia="de-AT"/>
        </w:rPr>
        <w:t xml:space="preserve">, obwohl </w:t>
      </w:r>
      <w:r w:rsidR="0022799E" w:rsidRPr="00A31B8E">
        <w:rPr>
          <w:rFonts w:ascii="Arial" w:hAnsi="Arial" w:cs="Arial"/>
          <w:bCs/>
          <w:sz w:val="20"/>
          <w:szCs w:val="20"/>
          <w:lang w:val="de-AT" w:eastAsia="de-AT"/>
        </w:rPr>
        <w:t>eigene Auftragsuntersuchungen der Kommission</w:t>
      </w:r>
      <w:r w:rsidRPr="00A31B8E">
        <w:rPr>
          <w:rFonts w:ascii="Arial" w:hAnsi="Arial" w:cs="Arial"/>
          <w:bCs/>
          <w:sz w:val="20"/>
          <w:szCs w:val="20"/>
          <w:lang w:val="de-AT" w:eastAsia="de-AT"/>
        </w:rPr>
        <w:t xml:space="preserve"> </w:t>
      </w:r>
      <w:r w:rsidR="000D76E2" w:rsidRPr="00A31B8E">
        <w:rPr>
          <w:rFonts w:ascii="Arial" w:hAnsi="Arial" w:cs="Arial"/>
          <w:bCs/>
          <w:sz w:val="20"/>
          <w:szCs w:val="20"/>
          <w:lang w:val="de-AT" w:eastAsia="de-AT"/>
        </w:rPr>
        <w:t xml:space="preserve">lediglich </w:t>
      </w:r>
      <w:r w:rsidRPr="00A31B8E">
        <w:rPr>
          <w:rFonts w:ascii="Arial" w:hAnsi="Arial" w:cs="Arial"/>
          <w:bCs/>
          <w:sz w:val="20"/>
          <w:szCs w:val="20"/>
          <w:lang w:val="de-AT" w:eastAsia="de-AT"/>
        </w:rPr>
        <w:t xml:space="preserve">von einem </w:t>
      </w:r>
      <w:r w:rsidR="0022799E" w:rsidRPr="00A31B8E">
        <w:rPr>
          <w:rFonts w:ascii="Arial" w:hAnsi="Arial" w:cs="Arial"/>
          <w:bCs/>
          <w:sz w:val="20"/>
          <w:szCs w:val="20"/>
          <w:lang w:val="de-AT" w:eastAsia="de-AT"/>
        </w:rPr>
        <w:t xml:space="preserve">maximalen </w:t>
      </w:r>
      <w:r w:rsidRPr="00A31B8E">
        <w:rPr>
          <w:rFonts w:ascii="Arial" w:hAnsi="Arial" w:cs="Arial"/>
          <w:bCs/>
          <w:sz w:val="20"/>
          <w:szCs w:val="20"/>
          <w:lang w:val="de-AT" w:eastAsia="de-AT"/>
        </w:rPr>
        <w:t xml:space="preserve">Wirtschaftswachstum für die EU in einer Größenordnung </w:t>
      </w:r>
      <w:r w:rsidR="007070D6" w:rsidRPr="00A31B8E">
        <w:rPr>
          <w:rFonts w:ascii="Arial" w:hAnsi="Arial" w:cs="Arial"/>
          <w:bCs/>
          <w:sz w:val="20"/>
          <w:szCs w:val="20"/>
          <w:lang w:val="de-AT" w:eastAsia="de-AT"/>
        </w:rPr>
        <w:t xml:space="preserve">von rund </w:t>
      </w:r>
      <w:r w:rsidRPr="00A31B8E">
        <w:rPr>
          <w:rFonts w:ascii="Arial" w:hAnsi="Arial" w:cs="Arial"/>
          <w:bCs/>
          <w:sz w:val="20"/>
          <w:szCs w:val="20"/>
          <w:lang w:val="de-AT" w:eastAsia="de-AT"/>
        </w:rPr>
        <w:t>0,3</w:t>
      </w:r>
      <w:r w:rsidR="008F6BD8" w:rsidRPr="00A31B8E">
        <w:rPr>
          <w:rFonts w:ascii="Arial" w:hAnsi="Arial" w:cs="Arial"/>
          <w:bCs/>
          <w:sz w:val="20"/>
          <w:szCs w:val="20"/>
          <w:lang w:val="de-AT" w:eastAsia="de-AT"/>
        </w:rPr>
        <w:t>-</w:t>
      </w:r>
      <w:r w:rsidRPr="00A31B8E">
        <w:rPr>
          <w:rFonts w:ascii="Arial" w:hAnsi="Arial" w:cs="Arial"/>
          <w:bCs/>
          <w:sz w:val="20"/>
          <w:szCs w:val="20"/>
          <w:lang w:val="de-AT" w:eastAsia="de-AT"/>
        </w:rPr>
        <w:t>0,5% innerhalb von zehn Jahren</w:t>
      </w:r>
      <w:r w:rsidR="006B1994" w:rsidRPr="00A31B8E">
        <w:rPr>
          <w:rFonts w:ascii="Arial" w:hAnsi="Arial" w:cs="Arial"/>
          <w:bCs/>
          <w:sz w:val="20"/>
          <w:szCs w:val="20"/>
          <w:lang w:val="de-AT" w:eastAsia="de-AT"/>
        </w:rPr>
        <w:t xml:space="preserve"> bzw</w:t>
      </w:r>
      <w:r w:rsidRPr="00A31B8E">
        <w:rPr>
          <w:rFonts w:ascii="Arial" w:hAnsi="Arial" w:cs="Arial"/>
          <w:bCs/>
          <w:sz w:val="20"/>
          <w:szCs w:val="20"/>
          <w:lang w:val="de-AT" w:eastAsia="de-AT"/>
        </w:rPr>
        <w:t xml:space="preserve"> </w:t>
      </w:r>
      <w:r w:rsidR="007070D6" w:rsidRPr="00A31B8E">
        <w:rPr>
          <w:rFonts w:ascii="Arial" w:hAnsi="Arial" w:cs="Arial"/>
          <w:bCs/>
          <w:sz w:val="20"/>
          <w:szCs w:val="20"/>
          <w:lang w:val="de-AT" w:eastAsia="de-AT"/>
        </w:rPr>
        <w:t>von einem</w:t>
      </w:r>
      <w:r w:rsidRPr="00A31B8E">
        <w:rPr>
          <w:rFonts w:ascii="Arial" w:hAnsi="Arial" w:cs="Arial"/>
          <w:bCs/>
          <w:sz w:val="20"/>
          <w:szCs w:val="20"/>
          <w:lang w:val="de-AT" w:eastAsia="de-AT"/>
        </w:rPr>
        <w:t xml:space="preserve"> </w:t>
      </w:r>
      <w:r w:rsidR="007070D6" w:rsidRPr="00A31B8E">
        <w:rPr>
          <w:rFonts w:ascii="Arial" w:hAnsi="Arial" w:cs="Arial"/>
          <w:bCs/>
          <w:sz w:val="20"/>
          <w:szCs w:val="20"/>
          <w:lang w:val="de-AT" w:eastAsia="de-AT"/>
        </w:rPr>
        <w:t xml:space="preserve">jährlichen </w:t>
      </w:r>
      <w:r w:rsidR="008F6BD8" w:rsidRPr="00A31B8E">
        <w:rPr>
          <w:rFonts w:ascii="Arial" w:hAnsi="Arial" w:cs="Arial"/>
          <w:bCs/>
          <w:sz w:val="20"/>
          <w:szCs w:val="20"/>
          <w:lang w:val="de-AT" w:eastAsia="de-AT"/>
        </w:rPr>
        <w:t>Wirtschaftswachstum von 0,03-</w:t>
      </w:r>
      <w:r w:rsidRPr="00A31B8E">
        <w:rPr>
          <w:rFonts w:ascii="Arial" w:hAnsi="Arial" w:cs="Arial"/>
          <w:bCs/>
          <w:sz w:val="20"/>
          <w:szCs w:val="20"/>
          <w:lang w:val="de-AT" w:eastAsia="de-AT"/>
        </w:rPr>
        <w:t>0,05% aus</w:t>
      </w:r>
      <w:r w:rsidR="000D76E2" w:rsidRPr="00A31B8E">
        <w:rPr>
          <w:rFonts w:ascii="Arial" w:hAnsi="Arial" w:cs="Arial"/>
          <w:bCs/>
          <w:sz w:val="20"/>
          <w:szCs w:val="20"/>
          <w:lang w:val="de-AT" w:eastAsia="de-AT"/>
        </w:rPr>
        <w:t>gehen</w:t>
      </w:r>
      <w:r w:rsidRPr="00A31B8E">
        <w:rPr>
          <w:rFonts w:ascii="Arial" w:hAnsi="Arial" w:cs="Arial"/>
          <w:bCs/>
          <w:sz w:val="20"/>
          <w:szCs w:val="20"/>
          <w:lang w:val="de-AT" w:eastAsia="de-AT"/>
        </w:rPr>
        <w:t>.</w:t>
      </w:r>
      <w:r w:rsidR="007070D6" w:rsidRPr="00A31B8E">
        <w:rPr>
          <w:rFonts w:ascii="Arial" w:hAnsi="Arial" w:cs="Arial"/>
          <w:bCs/>
          <w:sz w:val="20"/>
          <w:szCs w:val="20"/>
          <w:lang w:val="de-AT" w:eastAsia="de-AT"/>
        </w:rPr>
        <w:t xml:space="preserve"> </w:t>
      </w:r>
    </w:p>
    <w:p w:rsidR="0078223F" w:rsidRPr="00A31B8E" w:rsidRDefault="002E0042" w:rsidP="0078223F">
      <w:pPr>
        <w:spacing w:line="280" w:lineRule="exact"/>
        <w:contextualSpacing/>
        <w:jc w:val="both"/>
        <w:rPr>
          <w:rFonts w:ascii="Arial" w:hAnsi="Arial" w:cs="Arial"/>
          <w:b/>
          <w:bCs/>
          <w:sz w:val="20"/>
          <w:szCs w:val="20"/>
          <w:lang w:eastAsia="de-AT"/>
        </w:rPr>
      </w:pPr>
      <w:r w:rsidRPr="00A31B8E">
        <w:rPr>
          <w:rFonts w:ascii="Arial" w:hAnsi="Arial" w:cs="Arial"/>
          <w:b/>
          <w:bCs/>
          <w:sz w:val="20"/>
          <w:szCs w:val="20"/>
          <w:lang w:eastAsia="de-AT"/>
        </w:rPr>
        <w:t xml:space="preserve">Die </w:t>
      </w:r>
      <w:r w:rsidR="000342EF">
        <w:rPr>
          <w:rFonts w:ascii="Arial" w:hAnsi="Arial" w:cs="Arial"/>
          <w:b/>
          <w:bCs/>
          <w:sz w:val="20"/>
          <w:szCs w:val="20"/>
          <w:lang w:eastAsia="de-AT"/>
        </w:rPr>
        <w:t>Vollversammlung der AK</w:t>
      </w:r>
      <w:r w:rsidR="0022799E" w:rsidRPr="00A31B8E">
        <w:rPr>
          <w:rFonts w:ascii="Arial" w:hAnsi="Arial" w:cs="Arial"/>
          <w:b/>
          <w:bCs/>
          <w:sz w:val="20"/>
          <w:szCs w:val="20"/>
          <w:lang w:eastAsia="de-AT"/>
        </w:rPr>
        <w:t xml:space="preserve"> Wien </w:t>
      </w:r>
      <w:r w:rsidRPr="00A31B8E">
        <w:rPr>
          <w:rFonts w:ascii="Arial" w:hAnsi="Arial" w:cs="Arial"/>
          <w:b/>
          <w:bCs/>
          <w:sz w:val="20"/>
          <w:szCs w:val="20"/>
          <w:lang w:eastAsia="de-AT"/>
        </w:rPr>
        <w:t>fordert, dass d</w:t>
      </w:r>
      <w:r w:rsidR="00C63BEE" w:rsidRPr="00A31B8E">
        <w:rPr>
          <w:rFonts w:ascii="Arial" w:hAnsi="Arial" w:cs="Arial"/>
          <w:b/>
          <w:bCs/>
          <w:sz w:val="20"/>
          <w:szCs w:val="20"/>
          <w:lang w:eastAsia="de-AT"/>
        </w:rPr>
        <w:t>ie langfristigen Auswirkungen auf verschiedene</w:t>
      </w:r>
      <w:r w:rsidRPr="00A31B8E">
        <w:rPr>
          <w:rFonts w:ascii="Arial" w:hAnsi="Arial" w:cs="Arial"/>
          <w:b/>
          <w:bCs/>
          <w:sz w:val="20"/>
          <w:szCs w:val="20"/>
          <w:lang w:eastAsia="de-AT"/>
        </w:rPr>
        <w:t>n</w:t>
      </w:r>
      <w:r w:rsidR="00C63BEE" w:rsidRPr="00A31B8E">
        <w:rPr>
          <w:rFonts w:ascii="Arial" w:hAnsi="Arial" w:cs="Arial"/>
          <w:b/>
          <w:bCs/>
          <w:sz w:val="20"/>
          <w:szCs w:val="20"/>
          <w:lang w:eastAsia="de-AT"/>
        </w:rPr>
        <w:t xml:space="preserve"> Branchen in der EU genauer überprüft werden</w:t>
      </w:r>
      <w:r w:rsidRPr="00A31B8E">
        <w:rPr>
          <w:rFonts w:ascii="Arial" w:hAnsi="Arial" w:cs="Arial"/>
          <w:b/>
          <w:bCs/>
          <w:sz w:val="20"/>
          <w:szCs w:val="20"/>
          <w:lang w:eastAsia="de-AT"/>
        </w:rPr>
        <w:t xml:space="preserve"> müssen</w:t>
      </w:r>
      <w:r w:rsidR="00C63BEE" w:rsidRPr="00A31B8E">
        <w:rPr>
          <w:rFonts w:ascii="Arial" w:hAnsi="Arial" w:cs="Arial"/>
          <w:b/>
          <w:bCs/>
          <w:sz w:val="20"/>
          <w:szCs w:val="20"/>
          <w:lang w:eastAsia="de-AT"/>
        </w:rPr>
        <w:t>, um nachhaltige Effekte bewerten zu können.</w:t>
      </w:r>
    </w:p>
    <w:p w:rsidR="0078223F" w:rsidRPr="00A31B8E" w:rsidRDefault="0078223F" w:rsidP="0078223F">
      <w:pPr>
        <w:spacing w:line="280" w:lineRule="exact"/>
        <w:contextualSpacing/>
        <w:jc w:val="both"/>
        <w:rPr>
          <w:rFonts w:ascii="Arial" w:hAnsi="Arial" w:cs="Arial"/>
          <w:bCs/>
          <w:sz w:val="20"/>
          <w:szCs w:val="20"/>
          <w:lang w:eastAsia="de-AT"/>
        </w:rPr>
      </w:pPr>
    </w:p>
    <w:p w:rsidR="0078223F" w:rsidRPr="00A31B8E" w:rsidRDefault="0078223F" w:rsidP="0078223F">
      <w:pPr>
        <w:spacing w:line="280" w:lineRule="exact"/>
        <w:jc w:val="both"/>
        <w:rPr>
          <w:rFonts w:ascii="Arial" w:hAnsi="Arial" w:cs="Arial"/>
          <w:b/>
          <w:bCs/>
          <w:sz w:val="20"/>
          <w:szCs w:val="20"/>
          <w:lang w:eastAsia="de-AT"/>
        </w:rPr>
      </w:pPr>
      <w:r w:rsidRPr="00A31B8E">
        <w:rPr>
          <w:rFonts w:ascii="Arial" w:hAnsi="Arial" w:cs="Arial"/>
          <w:b/>
          <w:bCs/>
          <w:sz w:val="20"/>
          <w:szCs w:val="20"/>
          <w:lang w:eastAsia="de-AT"/>
        </w:rPr>
        <w:t>Intransparente Verhandlungen</w:t>
      </w:r>
    </w:p>
    <w:p w:rsidR="0078223F" w:rsidRPr="00A31B8E" w:rsidRDefault="0078223F" w:rsidP="0078223F">
      <w:pPr>
        <w:spacing w:line="280" w:lineRule="exact"/>
        <w:jc w:val="both"/>
        <w:rPr>
          <w:rStyle w:val="lauftext"/>
          <w:rFonts w:ascii="Arial" w:hAnsi="Arial" w:cs="Arial"/>
          <w:sz w:val="20"/>
          <w:szCs w:val="20"/>
        </w:rPr>
      </w:pPr>
      <w:r w:rsidRPr="00A31B8E">
        <w:rPr>
          <w:rStyle w:val="lauftext"/>
          <w:rFonts w:ascii="Arial" w:hAnsi="Arial" w:cs="Arial"/>
          <w:sz w:val="20"/>
          <w:szCs w:val="20"/>
        </w:rPr>
        <w:t>Die Verhandlungen sind völlig intransparent. Die Regierungen der EU-Mitgliedstaaten verfügen grundsätzlich nur über jene Verhandlungsdokumente, die die EU-Kommission in den Verhandlungen vorlegt, selbst diese müssen streng vertraulich behandelt werden. Öffentliche Diskussionen werden dadurch sehr erschwert.</w:t>
      </w:r>
    </w:p>
    <w:p w:rsidR="0078223F" w:rsidRPr="00A31B8E" w:rsidRDefault="0078223F" w:rsidP="0078223F">
      <w:pPr>
        <w:spacing w:line="280" w:lineRule="exact"/>
        <w:jc w:val="both"/>
        <w:rPr>
          <w:rFonts w:ascii="Arial" w:hAnsi="Arial" w:cs="Arial"/>
          <w:b/>
          <w:bCs/>
          <w:sz w:val="20"/>
          <w:szCs w:val="20"/>
          <w:lang w:eastAsia="de-AT"/>
        </w:rPr>
      </w:pPr>
      <w:r w:rsidRPr="00A31B8E">
        <w:rPr>
          <w:rFonts w:ascii="Arial" w:hAnsi="Arial" w:cs="Arial"/>
          <w:b/>
          <w:bCs/>
          <w:sz w:val="20"/>
          <w:szCs w:val="20"/>
          <w:lang w:eastAsia="de-AT"/>
        </w:rPr>
        <w:lastRenderedPageBreak/>
        <w:t xml:space="preserve">Die </w:t>
      </w:r>
      <w:r w:rsidR="000342EF">
        <w:rPr>
          <w:rFonts w:ascii="Arial" w:hAnsi="Arial" w:cs="Arial"/>
          <w:b/>
          <w:bCs/>
          <w:sz w:val="20"/>
          <w:szCs w:val="20"/>
          <w:lang w:eastAsia="de-AT"/>
        </w:rPr>
        <w:t>Vollversammlung der AK</w:t>
      </w:r>
      <w:r w:rsidR="0022799E" w:rsidRPr="00A31B8E">
        <w:rPr>
          <w:rFonts w:ascii="Arial" w:hAnsi="Arial" w:cs="Arial"/>
          <w:b/>
          <w:bCs/>
          <w:sz w:val="20"/>
          <w:szCs w:val="20"/>
          <w:lang w:eastAsia="de-AT"/>
        </w:rPr>
        <w:t xml:space="preserve"> Wien</w:t>
      </w:r>
      <w:r w:rsidR="00BB372F" w:rsidRPr="00A31B8E">
        <w:rPr>
          <w:rFonts w:ascii="Arial" w:hAnsi="Arial" w:cs="Arial"/>
          <w:b/>
          <w:bCs/>
          <w:sz w:val="20"/>
          <w:szCs w:val="20"/>
          <w:lang w:eastAsia="de-AT"/>
        </w:rPr>
        <w:t xml:space="preserve"> </w:t>
      </w:r>
      <w:r w:rsidRPr="00A31B8E">
        <w:rPr>
          <w:rFonts w:ascii="Arial" w:hAnsi="Arial" w:cs="Arial"/>
          <w:b/>
          <w:bCs/>
          <w:sz w:val="20"/>
          <w:szCs w:val="20"/>
          <w:lang w:eastAsia="de-AT"/>
        </w:rPr>
        <w:t xml:space="preserve">fordert </w:t>
      </w:r>
      <w:r w:rsidR="004F5C68" w:rsidRPr="004F5C68">
        <w:rPr>
          <w:rFonts w:ascii="Arial" w:hAnsi="Arial" w:cs="Arial"/>
          <w:b/>
          <w:bCs/>
          <w:i/>
          <w:color w:val="FF0000"/>
          <w:sz w:val="20"/>
          <w:szCs w:val="20"/>
          <w:u w:val="single"/>
          <w:lang w:eastAsia="de-AT"/>
        </w:rPr>
        <w:t xml:space="preserve">neben </w:t>
      </w:r>
      <w:proofErr w:type="spellStart"/>
      <w:r w:rsidR="004F5C68" w:rsidRPr="004F5C68">
        <w:rPr>
          <w:rFonts w:ascii="Arial" w:hAnsi="Arial" w:cs="Arial"/>
          <w:b/>
          <w:bCs/>
          <w:i/>
          <w:color w:val="FF0000"/>
          <w:sz w:val="20"/>
          <w:szCs w:val="20"/>
          <w:u w:val="single"/>
          <w:lang w:eastAsia="de-AT"/>
        </w:rPr>
        <w:t>der</w:t>
      </w:r>
      <w:r w:rsidRPr="004F5C68">
        <w:rPr>
          <w:rFonts w:ascii="Arial" w:hAnsi="Arial" w:cs="Arial"/>
          <w:b/>
          <w:bCs/>
          <w:i/>
          <w:strike/>
          <w:sz w:val="20"/>
          <w:szCs w:val="20"/>
          <w:u w:val="single"/>
          <w:lang w:eastAsia="de-AT"/>
        </w:rPr>
        <w:t>eine</w:t>
      </w:r>
      <w:proofErr w:type="spellEnd"/>
      <w:r w:rsidRPr="00A31B8E">
        <w:rPr>
          <w:rFonts w:ascii="Arial" w:hAnsi="Arial" w:cs="Arial"/>
          <w:b/>
          <w:bCs/>
          <w:sz w:val="20"/>
          <w:szCs w:val="20"/>
          <w:lang w:eastAsia="de-AT"/>
        </w:rPr>
        <w:t xml:space="preserve"> Offenlegung des EU-Verhandlungsmandats </w:t>
      </w:r>
      <w:r w:rsidR="004F5C68">
        <w:rPr>
          <w:rFonts w:ascii="Arial" w:hAnsi="Arial" w:cs="Arial"/>
          <w:b/>
          <w:bCs/>
          <w:i/>
          <w:strike/>
          <w:color w:val="FF0000"/>
          <w:sz w:val="20"/>
          <w:szCs w:val="20"/>
          <w:u w:val="single"/>
          <w:lang w:eastAsia="de-AT"/>
        </w:rPr>
        <w:t xml:space="preserve">und </w:t>
      </w:r>
      <w:r w:rsidR="004F5C68" w:rsidRPr="004F5C68">
        <w:rPr>
          <w:rFonts w:ascii="Arial" w:hAnsi="Arial" w:cs="Arial"/>
          <w:b/>
          <w:bCs/>
          <w:i/>
          <w:color w:val="FF0000"/>
          <w:sz w:val="20"/>
          <w:szCs w:val="20"/>
          <w:u w:val="single"/>
          <w:lang w:eastAsia="de-AT"/>
        </w:rPr>
        <w:t xml:space="preserve">die </w:t>
      </w:r>
      <w:r w:rsidR="004F5C68">
        <w:rPr>
          <w:rFonts w:ascii="Arial" w:hAnsi="Arial" w:cs="Arial"/>
          <w:b/>
          <w:bCs/>
          <w:i/>
          <w:color w:val="FF0000"/>
          <w:sz w:val="20"/>
          <w:szCs w:val="20"/>
          <w:u w:val="single"/>
          <w:lang w:eastAsia="de-AT"/>
        </w:rPr>
        <w:t>Offenlegung aller</w:t>
      </w:r>
      <w:r w:rsidRPr="004F5C68">
        <w:rPr>
          <w:rFonts w:ascii="Arial" w:hAnsi="Arial" w:cs="Arial"/>
          <w:b/>
          <w:bCs/>
          <w:color w:val="FF0000"/>
          <w:sz w:val="20"/>
          <w:szCs w:val="20"/>
          <w:lang w:eastAsia="de-AT"/>
        </w:rPr>
        <w:t xml:space="preserve"> </w:t>
      </w:r>
      <w:r w:rsidRPr="004F5C68">
        <w:rPr>
          <w:rFonts w:ascii="Arial" w:hAnsi="Arial" w:cs="Arial"/>
          <w:b/>
          <w:bCs/>
          <w:i/>
          <w:strike/>
          <w:color w:val="FF0000"/>
          <w:sz w:val="20"/>
          <w:szCs w:val="20"/>
          <w:u w:val="single"/>
          <w:lang w:eastAsia="de-AT"/>
        </w:rPr>
        <w:t xml:space="preserve">der </w:t>
      </w:r>
      <w:r w:rsidRPr="00A31B8E">
        <w:rPr>
          <w:rFonts w:ascii="Arial" w:hAnsi="Arial" w:cs="Arial"/>
          <w:b/>
          <w:bCs/>
          <w:sz w:val="20"/>
          <w:szCs w:val="20"/>
          <w:lang w:eastAsia="de-AT"/>
        </w:rPr>
        <w:t xml:space="preserve">Verhandlungsdokumente der EU, um eine breite öffentliche Diskussion auf der Basis transparenter Informationen zu ermöglichen. </w:t>
      </w:r>
    </w:p>
    <w:p w:rsidR="0078223F" w:rsidRPr="00A31B8E" w:rsidRDefault="0078223F" w:rsidP="0078223F">
      <w:pPr>
        <w:spacing w:line="280" w:lineRule="exact"/>
        <w:contextualSpacing/>
        <w:jc w:val="both"/>
        <w:rPr>
          <w:rFonts w:ascii="Arial" w:hAnsi="Arial" w:cs="Arial"/>
          <w:bCs/>
          <w:sz w:val="20"/>
          <w:szCs w:val="20"/>
          <w:lang w:val="de-AT" w:eastAsia="de-AT"/>
        </w:rPr>
      </w:pPr>
    </w:p>
    <w:p w:rsidR="00D63D92" w:rsidRPr="00A31B8E" w:rsidRDefault="00D63D92" w:rsidP="00D63D92">
      <w:pPr>
        <w:spacing w:line="280" w:lineRule="exact"/>
        <w:jc w:val="both"/>
        <w:rPr>
          <w:rFonts w:ascii="Arial" w:hAnsi="Arial" w:cs="Arial"/>
          <w:bCs/>
          <w:sz w:val="20"/>
          <w:szCs w:val="20"/>
          <w:lang w:eastAsia="de-AT"/>
        </w:rPr>
      </w:pPr>
      <w:r w:rsidRPr="00A31B8E">
        <w:rPr>
          <w:rFonts w:ascii="Arial" w:hAnsi="Arial" w:cs="Arial"/>
          <w:b/>
          <w:sz w:val="20"/>
          <w:szCs w:val="20"/>
        </w:rPr>
        <w:t xml:space="preserve">Investitionsschutz und Investor-Staat-Streitbeilegungsverfahren (ISDS) </w:t>
      </w:r>
    </w:p>
    <w:p w:rsidR="002E0042" w:rsidRPr="00A31B8E" w:rsidRDefault="00D63D92" w:rsidP="00D63D92">
      <w:pPr>
        <w:spacing w:line="280" w:lineRule="exact"/>
        <w:jc w:val="both"/>
        <w:rPr>
          <w:rFonts w:ascii="Arial" w:hAnsi="Arial" w:cs="Arial"/>
          <w:bCs/>
          <w:sz w:val="20"/>
          <w:szCs w:val="20"/>
          <w:lang w:eastAsia="de-AT"/>
        </w:rPr>
      </w:pPr>
      <w:r w:rsidRPr="00A31B8E">
        <w:rPr>
          <w:rFonts w:ascii="Arial" w:hAnsi="Arial" w:cs="Arial"/>
          <w:bCs/>
          <w:sz w:val="20"/>
          <w:szCs w:val="20"/>
          <w:lang w:eastAsia="de-AT"/>
        </w:rPr>
        <w:t xml:space="preserve">Das Abkommen sieht Investitionsschutzbestimmungen vor, die es US-amerikanischen Konzernen ermöglichen würden, die EU oder einzelne Mitgliedstaaten direkt vor privaten Schiedsgerichten zu verklagen. So könnten Österreich hohe Entschädigungszahlungen drohen, wenn es neue wohlfahrtsstaatliche Regulierungen etwa im Sozial-, Umwelt- oder Gesundheitsbereich einführt, die die erwarteten Gewinne der Investoren schmälern. Diese Verfahren finden unter Umgehung des nationalen Gerichtsweges statt. Zuletzt hat die Kommission </w:t>
      </w:r>
      <w:r w:rsidR="0022799E" w:rsidRPr="00A31B8E">
        <w:rPr>
          <w:rFonts w:ascii="Arial" w:hAnsi="Arial" w:cs="Arial"/>
          <w:bCs/>
          <w:sz w:val="20"/>
          <w:szCs w:val="20"/>
          <w:lang w:eastAsia="de-AT"/>
        </w:rPr>
        <w:t xml:space="preserve">die betreffenden </w:t>
      </w:r>
      <w:r w:rsidRPr="00A31B8E">
        <w:rPr>
          <w:rFonts w:ascii="Arial" w:hAnsi="Arial" w:cs="Arial"/>
          <w:bCs/>
          <w:sz w:val="20"/>
          <w:szCs w:val="20"/>
          <w:lang w:eastAsia="de-AT"/>
        </w:rPr>
        <w:t xml:space="preserve">Verhandlungen ausgesetzt, um eine öffentliche Befragung zu den umstrittenen Investorenrechten im TTIP durchzuführen. Die Ergebnisse der öffentlichen Konsultation und aller 150.000 Beiträge der </w:t>
      </w:r>
      <w:proofErr w:type="spellStart"/>
      <w:r w:rsidRPr="00A31B8E">
        <w:rPr>
          <w:rFonts w:ascii="Arial" w:hAnsi="Arial" w:cs="Arial"/>
          <w:bCs/>
          <w:sz w:val="20"/>
          <w:szCs w:val="20"/>
          <w:lang w:eastAsia="de-AT"/>
        </w:rPr>
        <w:t>TeilnehmerInnen</w:t>
      </w:r>
      <w:proofErr w:type="spellEnd"/>
      <w:r w:rsidRPr="00A31B8E">
        <w:rPr>
          <w:rFonts w:ascii="Arial" w:hAnsi="Arial" w:cs="Arial"/>
          <w:bCs/>
          <w:sz w:val="20"/>
          <w:szCs w:val="20"/>
          <w:lang w:eastAsia="de-AT"/>
        </w:rPr>
        <w:t xml:space="preserve"> sind jedenfalls zu berücksichtigen. </w:t>
      </w:r>
    </w:p>
    <w:p w:rsidR="00D63D92" w:rsidRPr="00A31B8E" w:rsidRDefault="00D63D92" w:rsidP="00D63D92">
      <w:pPr>
        <w:spacing w:line="280" w:lineRule="exact"/>
        <w:jc w:val="both"/>
        <w:rPr>
          <w:rFonts w:ascii="Arial" w:hAnsi="Arial" w:cs="Arial"/>
          <w:b/>
          <w:bCs/>
          <w:sz w:val="20"/>
          <w:szCs w:val="20"/>
          <w:lang w:eastAsia="de-AT"/>
        </w:rPr>
      </w:pPr>
      <w:r w:rsidRPr="00A31B8E">
        <w:rPr>
          <w:rFonts w:ascii="Arial" w:hAnsi="Arial" w:cs="Arial"/>
          <w:b/>
          <w:bCs/>
          <w:sz w:val="20"/>
          <w:szCs w:val="20"/>
          <w:lang w:eastAsia="de-AT"/>
        </w:rPr>
        <w:t xml:space="preserve">Die </w:t>
      </w:r>
      <w:r w:rsidR="000342EF">
        <w:rPr>
          <w:rFonts w:ascii="Arial" w:hAnsi="Arial" w:cs="Arial"/>
          <w:b/>
          <w:bCs/>
          <w:sz w:val="20"/>
          <w:szCs w:val="20"/>
          <w:lang w:eastAsia="de-AT"/>
        </w:rPr>
        <w:t>Vollversammlung der AK</w:t>
      </w:r>
      <w:r w:rsidR="0022799E" w:rsidRPr="00A31B8E">
        <w:rPr>
          <w:rFonts w:ascii="Arial" w:hAnsi="Arial" w:cs="Arial"/>
          <w:b/>
          <w:bCs/>
          <w:sz w:val="20"/>
          <w:szCs w:val="20"/>
          <w:lang w:eastAsia="de-AT"/>
        </w:rPr>
        <w:t xml:space="preserve"> Wien </w:t>
      </w:r>
      <w:r w:rsidRPr="00A31B8E">
        <w:rPr>
          <w:rFonts w:ascii="Arial" w:hAnsi="Arial" w:cs="Arial"/>
          <w:b/>
          <w:bCs/>
          <w:sz w:val="20"/>
          <w:szCs w:val="20"/>
          <w:lang w:eastAsia="de-AT"/>
        </w:rPr>
        <w:t xml:space="preserve">lehnt die Aufnahme von Investitionsschutzbestimmungen und privilegierte Klagerechte für </w:t>
      </w:r>
      <w:proofErr w:type="spellStart"/>
      <w:r w:rsidRPr="00A31B8E">
        <w:rPr>
          <w:rFonts w:ascii="Arial" w:hAnsi="Arial" w:cs="Arial"/>
          <w:b/>
          <w:bCs/>
          <w:sz w:val="20"/>
          <w:szCs w:val="20"/>
          <w:lang w:eastAsia="de-AT"/>
        </w:rPr>
        <w:t>InvestorInnen</w:t>
      </w:r>
      <w:proofErr w:type="spellEnd"/>
      <w:r w:rsidRPr="00A31B8E">
        <w:rPr>
          <w:rFonts w:ascii="Arial" w:hAnsi="Arial" w:cs="Arial"/>
          <w:b/>
          <w:bCs/>
          <w:sz w:val="20"/>
          <w:szCs w:val="20"/>
          <w:lang w:eastAsia="de-AT"/>
        </w:rPr>
        <w:t xml:space="preserve"> im TTIP dezidiert ab. </w:t>
      </w:r>
    </w:p>
    <w:p w:rsidR="00E41335" w:rsidRPr="00A31B8E" w:rsidRDefault="00E41335" w:rsidP="00AD606A">
      <w:pPr>
        <w:autoSpaceDE w:val="0"/>
        <w:autoSpaceDN w:val="0"/>
        <w:adjustRightInd w:val="0"/>
        <w:spacing w:line="280" w:lineRule="exact"/>
        <w:contextualSpacing/>
        <w:jc w:val="both"/>
        <w:rPr>
          <w:rFonts w:ascii="Arial" w:hAnsi="Arial" w:cs="Arial"/>
          <w:b/>
          <w:bCs/>
          <w:sz w:val="20"/>
          <w:szCs w:val="20"/>
          <w:lang w:eastAsia="de-AT"/>
        </w:rPr>
      </w:pPr>
    </w:p>
    <w:p w:rsidR="00E41335" w:rsidRPr="00A31B8E" w:rsidRDefault="00772A67" w:rsidP="00AD606A">
      <w:pPr>
        <w:spacing w:line="280" w:lineRule="exact"/>
        <w:jc w:val="both"/>
        <w:rPr>
          <w:rFonts w:ascii="Arial" w:hAnsi="Arial" w:cs="Arial"/>
          <w:sz w:val="20"/>
          <w:szCs w:val="20"/>
        </w:rPr>
      </w:pPr>
      <w:r w:rsidRPr="00A31B8E">
        <w:rPr>
          <w:rFonts w:ascii="Arial" w:hAnsi="Arial" w:cs="Arial"/>
          <w:b/>
          <w:sz w:val="20"/>
          <w:szCs w:val="20"/>
        </w:rPr>
        <w:t xml:space="preserve">Dienstleistungen: </w:t>
      </w:r>
      <w:r w:rsidR="00776704" w:rsidRPr="00A31B8E">
        <w:rPr>
          <w:rFonts w:ascii="Arial" w:hAnsi="Arial" w:cs="Arial"/>
          <w:b/>
          <w:sz w:val="20"/>
          <w:szCs w:val="20"/>
        </w:rPr>
        <w:t xml:space="preserve">Mögliche </w:t>
      </w:r>
      <w:r w:rsidR="00E41335" w:rsidRPr="00A31B8E">
        <w:rPr>
          <w:rFonts w:ascii="Arial" w:hAnsi="Arial" w:cs="Arial"/>
          <w:b/>
          <w:sz w:val="20"/>
          <w:szCs w:val="20"/>
        </w:rPr>
        <w:t>Liberalisierung durch die Hintertür</w:t>
      </w:r>
    </w:p>
    <w:p w:rsidR="009A5EEE" w:rsidRDefault="00E41335" w:rsidP="00AD606A">
      <w:pPr>
        <w:spacing w:line="280" w:lineRule="exact"/>
        <w:jc w:val="both"/>
        <w:rPr>
          <w:rFonts w:ascii="Arial" w:hAnsi="Arial" w:cs="Arial"/>
          <w:sz w:val="20"/>
          <w:szCs w:val="20"/>
        </w:rPr>
      </w:pPr>
      <w:r w:rsidRPr="00A31B8E">
        <w:rPr>
          <w:rFonts w:ascii="Arial" w:hAnsi="Arial" w:cs="Arial"/>
          <w:sz w:val="20"/>
          <w:szCs w:val="20"/>
        </w:rPr>
        <w:t>Die TTIP-Verhandlungen sind richtungsweisend dafür, ob sich kommerzielle Interessen gegenüber den Forderungen nach umfassende</w:t>
      </w:r>
      <w:r w:rsidR="00772A67" w:rsidRPr="00A31B8E">
        <w:rPr>
          <w:rFonts w:ascii="Arial" w:hAnsi="Arial" w:cs="Arial"/>
          <w:sz w:val="20"/>
          <w:szCs w:val="20"/>
        </w:rPr>
        <w:t>n</w:t>
      </w:r>
      <w:r w:rsidRPr="00A31B8E">
        <w:rPr>
          <w:rFonts w:ascii="Arial" w:hAnsi="Arial" w:cs="Arial"/>
          <w:sz w:val="20"/>
          <w:szCs w:val="20"/>
        </w:rPr>
        <w:t xml:space="preserve"> kommunalen und nationalen Regulierungsspielräumen, </w:t>
      </w:r>
      <w:r w:rsidR="0022799E" w:rsidRPr="00A31B8E">
        <w:rPr>
          <w:rFonts w:ascii="Arial" w:hAnsi="Arial" w:cs="Arial"/>
          <w:sz w:val="20"/>
          <w:szCs w:val="20"/>
        </w:rPr>
        <w:t xml:space="preserve">insbesondere der </w:t>
      </w:r>
      <w:r w:rsidRPr="00A31B8E">
        <w:rPr>
          <w:rFonts w:ascii="Arial" w:hAnsi="Arial" w:cs="Arial"/>
          <w:sz w:val="20"/>
          <w:szCs w:val="20"/>
        </w:rPr>
        <w:t>Finanzierung und Erbringung von Dienstleistungen der öffentlichen Daseinsvorsorge durchsetzen können (zB in den Bereichen Bildung</w:t>
      </w:r>
      <w:r w:rsidR="00391124">
        <w:rPr>
          <w:rFonts w:ascii="Arial" w:hAnsi="Arial" w:cs="Arial"/>
          <w:sz w:val="20"/>
          <w:szCs w:val="20"/>
        </w:rPr>
        <w:t xml:space="preserve"> und Kultur</w:t>
      </w:r>
      <w:r w:rsidRPr="00A31B8E">
        <w:rPr>
          <w:rFonts w:ascii="Arial" w:hAnsi="Arial" w:cs="Arial"/>
          <w:sz w:val="20"/>
          <w:szCs w:val="20"/>
        </w:rPr>
        <w:t xml:space="preserve">, Gesundheits- und soziale Dienstleistungen, Abwasser- und Müllentsorgung, Energie, Verkehr oder Wasserversorgung). </w:t>
      </w:r>
      <w:r w:rsidR="00772A67" w:rsidRPr="00A31B8E">
        <w:rPr>
          <w:rFonts w:ascii="Arial" w:hAnsi="Arial" w:cs="Arial"/>
          <w:sz w:val="20"/>
          <w:szCs w:val="20"/>
        </w:rPr>
        <w:t>Entgegen bisheriger Zusicherungen hat die Kommission</w:t>
      </w:r>
      <w:r w:rsidR="004A1D3E">
        <w:rPr>
          <w:rFonts w:ascii="Arial" w:hAnsi="Arial" w:cs="Arial"/>
          <w:sz w:val="20"/>
          <w:szCs w:val="20"/>
        </w:rPr>
        <w:t xml:space="preserve"> </w:t>
      </w:r>
      <w:r w:rsidRPr="00A31B8E">
        <w:rPr>
          <w:rFonts w:ascii="Arial" w:hAnsi="Arial" w:cs="Arial"/>
          <w:sz w:val="20"/>
          <w:szCs w:val="20"/>
        </w:rPr>
        <w:t xml:space="preserve">Dienstleistungskonzessionen in die Verhandlungen zum TTIP </w:t>
      </w:r>
      <w:r w:rsidR="00772A67" w:rsidRPr="00A31B8E">
        <w:rPr>
          <w:rFonts w:ascii="Arial" w:hAnsi="Arial" w:cs="Arial"/>
          <w:sz w:val="20"/>
          <w:szCs w:val="20"/>
        </w:rPr>
        <w:t>eingebracht</w:t>
      </w:r>
      <w:r w:rsidRPr="00A31B8E">
        <w:rPr>
          <w:rFonts w:ascii="Arial" w:hAnsi="Arial" w:cs="Arial"/>
          <w:sz w:val="20"/>
          <w:szCs w:val="20"/>
        </w:rPr>
        <w:t xml:space="preserve">. </w:t>
      </w:r>
    </w:p>
    <w:p w:rsidR="00A725B3" w:rsidRDefault="0022799E" w:rsidP="00AD606A">
      <w:pPr>
        <w:spacing w:line="280" w:lineRule="exact"/>
        <w:jc w:val="both"/>
        <w:rPr>
          <w:rFonts w:ascii="Arial" w:hAnsi="Arial" w:cs="Arial"/>
          <w:b/>
          <w:sz w:val="20"/>
          <w:szCs w:val="20"/>
        </w:rPr>
      </w:pPr>
      <w:r w:rsidRPr="00A31B8E">
        <w:rPr>
          <w:rFonts w:ascii="Arial" w:hAnsi="Arial" w:cs="Arial"/>
          <w:b/>
          <w:sz w:val="20"/>
          <w:szCs w:val="20"/>
        </w:rPr>
        <w:t xml:space="preserve">Die </w:t>
      </w:r>
      <w:r w:rsidR="000342EF">
        <w:rPr>
          <w:rFonts w:ascii="Arial" w:hAnsi="Arial" w:cs="Arial"/>
          <w:b/>
          <w:bCs/>
          <w:sz w:val="20"/>
          <w:szCs w:val="20"/>
          <w:lang w:eastAsia="de-AT"/>
        </w:rPr>
        <w:t>Vollversammlung der AK</w:t>
      </w:r>
      <w:r w:rsidRPr="00A31B8E">
        <w:rPr>
          <w:rFonts w:ascii="Arial" w:hAnsi="Arial" w:cs="Arial"/>
          <w:b/>
          <w:bCs/>
          <w:sz w:val="20"/>
          <w:szCs w:val="20"/>
          <w:lang w:eastAsia="de-AT"/>
        </w:rPr>
        <w:t xml:space="preserve"> Wien fordert, dass ö</w:t>
      </w:r>
      <w:r w:rsidR="00772A67" w:rsidRPr="00A31B8E">
        <w:rPr>
          <w:rFonts w:ascii="Arial" w:hAnsi="Arial" w:cs="Arial"/>
          <w:b/>
          <w:sz w:val="20"/>
          <w:szCs w:val="20"/>
        </w:rPr>
        <w:t>ffentliche Dienstleistungen – und damit insbesondere auch diesbezügliche Konzessionen</w:t>
      </w:r>
      <w:r w:rsidR="00D33E3C" w:rsidRPr="00A31B8E">
        <w:rPr>
          <w:rFonts w:ascii="Arial" w:hAnsi="Arial" w:cs="Arial"/>
          <w:b/>
          <w:sz w:val="20"/>
          <w:szCs w:val="20"/>
        </w:rPr>
        <w:t xml:space="preserve"> ebenso wie das öffentliche Beschaffungswesen</w:t>
      </w:r>
      <w:r w:rsidR="00772A67" w:rsidRPr="00A31B8E">
        <w:rPr>
          <w:rFonts w:ascii="Arial" w:hAnsi="Arial" w:cs="Arial"/>
          <w:b/>
          <w:sz w:val="20"/>
          <w:szCs w:val="20"/>
        </w:rPr>
        <w:t xml:space="preserve"> –</w:t>
      </w:r>
      <w:r w:rsidR="008F6BD8" w:rsidRPr="00A31B8E">
        <w:rPr>
          <w:rFonts w:ascii="Arial" w:hAnsi="Arial" w:cs="Arial"/>
          <w:b/>
          <w:sz w:val="20"/>
          <w:szCs w:val="20"/>
        </w:rPr>
        <w:t xml:space="preserve"> </w:t>
      </w:r>
      <w:r w:rsidR="00772A67" w:rsidRPr="00A31B8E">
        <w:rPr>
          <w:rFonts w:ascii="Arial" w:hAnsi="Arial" w:cs="Arial"/>
          <w:b/>
          <w:sz w:val="20"/>
          <w:szCs w:val="20"/>
        </w:rPr>
        <w:t>aus dem Anwendungsbereich des Abkommens auszuschließen</w:t>
      </w:r>
      <w:r w:rsidRPr="00A31B8E">
        <w:rPr>
          <w:rFonts w:ascii="Arial" w:hAnsi="Arial" w:cs="Arial"/>
          <w:b/>
          <w:sz w:val="20"/>
          <w:szCs w:val="20"/>
        </w:rPr>
        <w:t xml:space="preserve"> sind</w:t>
      </w:r>
      <w:r w:rsidR="00772A67" w:rsidRPr="00A31B8E">
        <w:rPr>
          <w:rFonts w:ascii="Arial" w:hAnsi="Arial" w:cs="Arial"/>
          <w:b/>
          <w:sz w:val="20"/>
          <w:szCs w:val="20"/>
        </w:rPr>
        <w:t>.</w:t>
      </w:r>
      <w:r w:rsidR="00B30411" w:rsidRPr="00A31B8E">
        <w:rPr>
          <w:rFonts w:ascii="Arial" w:hAnsi="Arial" w:cs="Arial"/>
          <w:b/>
          <w:sz w:val="20"/>
          <w:szCs w:val="20"/>
        </w:rPr>
        <w:t xml:space="preserve"> </w:t>
      </w:r>
    </w:p>
    <w:p w:rsidR="00A725B3" w:rsidRDefault="00A725B3" w:rsidP="00AD606A">
      <w:pPr>
        <w:spacing w:line="280" w:lineRule="exact"/>
        <w:jc w:val="both"/>
        <w:rPr>
          <w:rFonts w:ascii="Arial" w:hAnsi="Arial" w:cs="Arial"/>
          <w:b/>
          <w:sz w:val="20"/>
          <w:szCs w:val="20"/>
        </w:rPr>
      </w:pPr>
    </w:p>
    <w:p w:rsidR="00E41335" w:rsidRPr="00A31B8E" w:rsidRDefault="00B30411" w:rsidP="00AD606A">
      <w:pPr>
        <w:spacing w:line="280" w:lineRule="exact"/>
        <w:jc w:val="both"/>
        <w:rPr>
          <w:rFonts w:ascii="Arial" w:hAnsi="Arial" w:cs="Arial"/>
          <w:b/>
          <w:sz w:val="20"/>
          <w:szCs w:val="20"/>
        </w:rPr>
      </w:pPr>
      <w:r w:rsidRPr="00A31B8E">
        <w:rPr>
          <w:rFonts w:ascii="Arial" w:hAnsi="Arial" w:cs="Arial"/>
          <w:b/>
          <w:sz w:val="20"/>
          <w:szCs w:val="20"/>
        </w:rPr>
        <w:t xml:space="preserve">Darüber hinaus </w:t>
      </w:r>
      <w:r w:rsidR="00D63D92" w:rsidRPr="00A31B8E">
        <w:rPr>
          <w:rFonts w:ascii="Arial" w:hAnsi="Arial" w:cs="Arial"/>
          <w:b/>
          <w:sz w:val="20"/>
          <w:szCs w:val="20"/>
        </w:rPr>
        <w:t>müssen</w:t>
      </w:r>
      <w:r w:rsidRPr="00A31B8E">
        <w:rPr>
          <w:rFonts w:ascii="Arial" w:hAnsi="Arial" w:cs="Arial"/>
          <w:b/>
          <w:sz w:val="20"/>
          <w:szCs w:val="20"/>
        </w:rPr>
        <w:t xml:space="preserve"> politische Handlungsspielräume auf kommunaler und nationaler Ebene zur Regulierung, Finanzierung und Erbringung öffentlicher Dienstleistungen sichergestellt werden. </w:t>
      </w:r>
      <w:r w:rsidR="00B76D19" w:rsidRPr="00A31B8E">
        <w:rPr>
          <w:rFonts w:ascii="Arial" w:hAnsi="Arial" w:cs="Arial"/>
          <w:b/>
          <w:sz w:val="20"/>
          <w:szCs w:val="20"/>
        </w:rPr>
        <w:t>Keinesfalls dürfen die Verhandlungen auf Basis des sog</w:t>
      </w:r>
      <w:r w:rsidR="009A5EEE">
        <w:rPr>
          <w:rFonts w:ascii="Arial" w:hAnsi="Arial" w:cs="Arial"/>
          <w:b/>
          <w:sz w:val="20"/>
          <w:szCs w:val="20"/>
        </w:rPr>
        <w:t>enannten</w:t>
      </w:r>
      <w:r w:rsidR="00B76D19" w:rsidRPr="00A31B8E">
        <w:rPr>
          <w:rFonts w:ascii="Arial" w:hAnsi="Arial" w:cs="Arial"/>
          <w:b/>
          <w:sz w:val="20"/>
          <w:szCs w:val="20"/>
        </w:rPr>
        <w:t xml:space="preserve"> Negativlistenansatzes geführt werden, wonach alle nicht ausdrücklich ausgenommenen Dienstleistungen automatisch liberalisiert wären. Ebenso wird eine weitere Liberalisierung der grenzüberschreitenden Dienstleitungserbringung von Arbeitskräften (</w:t>
      </w:r>
      <w:proofErr w:type="spellStart"/>
      <w:r w:rsidR="00B76D19" w:rsidRPr="00A31B8E">
        <w:rPr>
          <w:rFonts w:ascii="Arial" w:hAnsi="Arial" w:cs="Arial"/>
          <w:b/>
          <w:sz w:val="20"/>
          <w:szCs w:val="20"/>
        </w:rPr>
        <w:t>mode</w:t>
      </w:r>
      <w:proofErr w:type="spellEnd"/>
      <w:r w:rsidR="00B76D19" w:rsidRPr="00A31B8E">
        <w:rPr>
          <w:rFonts w:ascii="Arial" w:hAnsi="Arial" w:cs="Arial"/>
          <w:b/>
          <w:sz w:val="20"/>
          <w:szCs w:val="20"/>
        </w:rPr>
        <w:t xml:space="preserve"> IV) abgelehnt, solange keine grenzüberschreitende Zusammenarbeit in der Vollziehung zur Gewährleistung der Kollektivvertragslöhne und Arbeitsbedingungen sicher gestellt ist.</w:t>
      </w:r>
      <w:r w:rsidR="00D33839">
        <w:rPr>
          <w:rFonts w:ascii="Arial" w:hAnsi="Arial" w:cs="Arial"/>
          <w:b/>
          <w:sz w:val="20"/>
          <w:szCs w:val="20"/>
        </w:rPr>
        <w:t xml:space="preserve"> </w:t>
      </w:r>
      <w:r w:rsidR="00D33839" w:rsidRPr="00D33839">
        <w:rPr>
          <w:rFonts w:ascii="Arial" w:hAnsi="Arial" w:cs="Arial"/>
          <w:b/>
          <w:sz w:val="20"/>
          <w:szCs w:val="20"/>
        </w:rPr>
        <w:t>Durch die negativen Erfahrungen mit ACTA und der Tatsache dass die USA Vertragsstaat von ACTA ist, besteht die Gefahr, dass ACTA durch die Hintertür eingeführt werden könnte. Daher ist an der Entscheidung der EU, nicht über audiovisuelle Dienstleistungen als Träger kultureller Vielfalt zu verhandeln, festzuhalten und der Bestand der UNESCO-Konvention zum Schutz der Vielfalt der Kultur zu sichern.</w:t>
      </w:r>
    </w:p>
    <w:p w:rsidR="00E41335" w:rsidRPr="00A31B8E" w:rsidRDefault="00E41335" w:rsidP="00AD606A">
      <w:pPr>
        <w:spacing w:line="280" w:lineRule="exact"/>
        <w:jc w:val="both"/>
        <w:rPr>
          <w:rFonts w:ascii="Arial" w:hAnsi="Arial" w:cs="Arial"/>
          <w:sz w:val="20"/>
          <w:szCs w:val="20"/>
        </w:rPr>
      </w:pPr>
    </w:p>
    <w:p w:rsidR="00616045" w:rsidRPr="00A31B8E" w:rsidRDefault="00616045" w:rsidP="00394ADC">
      <w:pPr>
        <w:spacing w:line="280" w:lineRule="exact"/>
        <w:contextualSpacing/>
        <w:jc w:val="both"/>
        <w:rPr>
          <w:rFonts w:ascii="Arial" w:hAnsi="Arial" w:cs="Arial"/>
          <w:b/>
          <w:bCs/>
          <w:sz w:val="20"/>
          <w:szCs w:val="20"/>
          <w:lang w:val="de-AT" w:eastAsia="de-AT"/>
        </w:rPr>
      </w:pPr>
      <w:r w:rsidRPr="00A31B8E">
        <w:rPr>
          <w:rFonts w:ascii="Arial" w:hAnsi="Arial" w:cs="Arial"/>
          <w:b/>
          <w:bCs/>
          <w:sz w:val="20"/>
          <w:szCs w:val="20"/>
          <w:lang w:val="de-AT" w:eastAsia="de-AT"/>
        </w:rPr>
        <w:t xml:space="preserve">Möglicher Abbau von Regulierungen </w:t>
      </w:r>
    </w:p>
    <w:p w:rsidR="0007071C" w:rsidRPr="00A31B8E" w:rsidRDefault="00394ADC" w:rsidP="00394ADC">
      <w:pPr>
        <w:spacing w:line="280" w:lineRule="exact"/>
        <w:contextualSpacing/>
        <w:jc w:val="both"/>
        <w:rPr>
          <w:rFonts w:ascii="Arial" w:hAnsi="Arial" w:cs="Arial"/>
          <w:color w:val="000000"/>
          <w:sz w:val="20"/>
          <w:szCs w:val="20"/>
          <w:lang w:val="de-AT" w:eastAsia="de-AT"/>
        </w:rPr>
      </w:pPr>
      <w:r w:rsidRPr="00A31B8E">
        <w:rPr>
          <w:rFonts w:ascii="Arial" w:hAnsi="Arial" w:cs="Arial"/>
          <w:bCs/>
          <w:sz w:val="20"/>
          <w:szCs w:val="20"/>
          <w:lang w:val="de-AT" w:eastAsia="de-AT"/>
        </w:rPr>
        <w:t xml:space="preserve">Da die durchschnittlichen Zölle zwischen der EU und den USA bereits sehr niedrig sind, werden die Wachstumserwartungen </w:t>
      </w:r>
      <w:r w:rsidR="002E0042" w:rsidRPr="00A31B8E">
        <w:rPr>
          <w:rFonts w:ascii="Arial" w:hAnsi="Arial" w:cs="Arial"/>
          <w:bCs/>
          <w:sz w:val="20"/>
          <w:szCs w:val="20"/>
          <w:lang w:val="de-AT" w:eastAsia="de-AT"/>
        </w:rPr>
        <w:t>aus dem TTIP auf den sogenannten</w:t>
      </w:r>
      <w:r w:rsidRPr="00A31B8E">
        <w:rPr>
          <w:rFonts w:ascii="Arial" w:hAnsi="Arial" w:cs="Arial"/>
          <w:bCs/>
          <w:sz w:val="20"/>
          <w:szCs w:val="20"/>
          <w:lang w:val="de-AT" w:eastAsia="de-AT"/>
        </w:rPr>
        <w:t xml:space="preserve"> </w:t>
      </w:r>
      <w:r w:rsidR="002E0042" w:rsidRPr="00A31B8E">
        <w:rPr>
          <w:rFonts w:ascii="Arial" w:hAnsi="Arial" w:cs="Arial"/>
          <w:bCs/>
          <w:sz w:val="20"/>
          <w:szCs w:val="20"/>
          <w:lang w:val="de-AT" w:eastAsia="de-AT"/>
        </w:rPr>
        <w:t>n</w:t>
      </w:r>
      <w:r w:rsidRPr="00A31B8E">
        <w:rPr>
          <w:rFonts w:ascii="Arial" w:hAnsi="Arial" w:cs="Arial"/>
          <w:bCs/>
          <w:sz w:val="20"/>
          <w:szCs w:val="20"/>
          <w:lang w:val="de-AT" w:eastAsia="de-AT"/>
        </w:rPr>
        <w:t xml:space="preserve">ichttarifären Handelshemmnissen beruhen. </w:t>
      </w:r>
      <w:r w:rsidRPr="00A31B8E">
        <w:rPr>
          <w:rFonts w:ascii="Arial" w:hAnsi="Arial" w:cs="Arial"/>
          <w:color w:val="000000"/>
          <w:sz w:val="20"/>
          <w:szCs w:val="20"/>
          <w:lang w:val="de-AT" w:eastAsia="de-AT"/>
        </w:rPr>
        <w:t xml:space="preserve">Darunter werden Regulierungsunterschiede in den beiden Wirtschaftsräumen verstanden, </w:t>
      </w:r>
      <w:r w:rsidRPr="00A31B8E">
        <w:rPr>
          <w:rFonts w:ascii="Arial" w:hAnsi="Arial" w:cs="Arial"/>
          <w:color w:val="000000"/>
          <w:sz w:val="20"/>
          <w:szCs w:val="20"/>
          <w:lang w:val="de-AT" w:eastAsia="de-AT"/>
        </w:rPr>
        <w:lastRenderedPageBreak/>
        <w:t xml:space="preserve">die aus Sicht </w:t>
      </w:r>
      <w:r w:rsidR="002E0042" w:rsidRPr="00A31B8E">
        <w:rPr>
          <w:rFonts w:ascii="Arial" w:hAnsi="Arial" w:cs="Arial"/>
          <w:color w:val="000000"/>
          <w:sz w:val="20"/>
          <w:szCs w:val="20"/>
          <w:lang w:val="de-AT" w:eastAsia="de-AT"/>
        </w:rPr>
        <w:t>der Wirtschaft</w:t>
      </w:r>
      <w:r w:rsidRPr="00A31B8E">
        <w:rPr>
          <w:rFonts w:ascii="Arial" w:hAnsi="Arial" w:cs="Arial"/>
          <w:color w:val="000000"/>
          <w:sz w:val="20"/>
          <w:szCs w:val="20"/>
          <w:lang w:val="de-AT" w:eastAsia="de-AT"/>
        </w:rPr>
        <w:t xml:space="preserve"> den Handel beeinträchtigen</w:t>
      </w:r>
      <w:r w:rsidR="00816945" w:rsidRPr="00A31B8E">
        <w:rPr>
          <w:rFonts w:ascii="Arial" w:hAnsi="Arial" w:cs="Arial"/>
          <w:color w:val="000000"/>
          <w:sz w:val="20"/>
          <w:szCs w:val="20"/>
          <w:lang w:val="de-AT" w:eastAsia="de-AT"/>
        </w:rPr>
        <w:t>.</w:t>
      </w:r>
      <w:r w:rsidR="004A1D3E">
        <w:rPr>
          <w:rFonts w:ascii="Arial" w:hAnsi="Arial" w:cs="Arial"/>
          <w:color w:val="000000"/>
          <w:sz w:val="20"/>
          <w:szCs w:val="20"/>
          <w:lang w:val="de-AT" w:eastAsia="de-AT"/>
        </w:rPr>
        <w:t xml:space="preserve"> </w:t>
      </w:r>
      <w:r w:rsidR="00816945" w:rsidRPr="00A31B8E">
        <w:rPr>
          <w:rFonts w:ascii="Arial" w:hAnsi="Arial" w:cs="Arial"/>
          <w:color w:val="000000"/>
          <w:sz w:val="20"/>
          <w:szCs w:val="20"/>
          <w:lang w:val="de-AT" w:eastAsia="de-AT"/>
        </w:rPr>
        <w:t xml:space="preserve">Betroffen sind </w:t>
      </w:r>
      <w:r w:rsidR="00681C7D" w:rsidRPr="00A31B8E">
        <w:rPr>
          <w:rFonts w:ascii="Arial" w:hAnsi="Arial" w:cs="Arial"/>
          <w:color w:val="000000"/>
          <w:sz w:val="20"/>
          <w:szCs w:val="20"/>
          <w:lang w:val="de-AT" w:eastAsia="de-AT"/>
        </w:rPr>
        <w:t xml:space="preserve">neben technischen </w:t>
      </w:r>
      <w:r w:rsidRPr="00A31B8E">
        <w:rPr>
          <w:rFonts w:ascii="Arial" w:hAnsi="Arial" w:cs="Arial"/>
          <w:bCs/>
          <w:sz w:val="20"/>
          <w:szCs w:val="20"/>
          <w:lang w:val="de-AT" w:eastAsia="de-AT"/>
        </w:rPr>
        <w:t>Standards</w:t>
      </w:r>
      <w:r w:rsidR="00681C7D" w:rsidRPr="00A31B8E">
        <w:rPr>
          <w:rFonts w:ascii="Arial" w:hAnsi="Arial" w:cs="Arial"/>
          <w:bCs/>
          <w:sz w:val="20"/>
          <w:szCs w:val="20"/>
          <w:lang w:val="de-AT" w:eastAsia="de-AT"/>
        </w:rPr>
        <w:t xml:space="preserve"> und</w:t>
      </w:r>
      <w:r w:rsidRPr="00A31B8E">
        <w:rPr>
          <w:rFonts w:ascii="Arial" w:hAnsi="Arial" w:cs="Arial"/>
          <w:bCs/>
          <w:sz w:val="20"/>
          <w:szCs w:val="20"/>
          <w:lang w:val="de-AT" w:eastAsia="de-AT"/>
        </w:rPr>
        <w:t xml:space="preserve"> Verfahren </w:t>
      </w:r>
      <w:r w:rsidR="00681C7D" w:rsidRPr="00A31B8E">
        <w:rPr>
          <w:rFonts w:ascii="Arial" w:hAnsi="Arial" w:cs="Arial"/>
          <w:bCs/>
          <w:sz w:val="20"/>
          <w:szCs w:val="20"/>
          <w:lang w:val="de-AT" w:eastAsia="de-AT"/>
        </w:rPr>
        <w:t xml:space="preserve">auch Regelungen </w:t>
      </w:r>
      <w:r w:rsidRPr="00A31B8E">
        <w:rPr>
          <w:rFonts w:ascii="Arial" w:hAnsi="Arial" w:cs="Arial"/>
          <w:bCs/>
          <w:sz w:val="20"/>
          <w:szCs w:val="20"/>
          <w:lang w:val="de-AT" w:eastAsia="de-AT"/>
        </w:rPr>
        <w:t>im Bereich der öffentlichen Gesundheit und Sicherheit, Konsumentenschutz, Sozial- und Umweltgesetzgebung.</w:t>
      </w:r>
      <w:r w:rsidR="002E0042" w:rsidRPr="00A31B8E">
        <w:rPr>
          <w:rFonts w:ascii="Arial" w:hAnsi="Arial" w:cs="Arial"/>
          <w:bCs/>
          <w:sz w:val="20"/>
          <w:szCs w:val="20"/>
          <w:lang w:val="de-AT" w:eastAsia="de-AT"/>
        </w:rPr>
        <w:t xml:space="preserve"> </w:t>
      </w:r>
      <w:r w:rsidRPr="00A31B8E">
        <w:rPr>
          <w:rFonts w:ascii="Arial" w:hAnsi="Arial" w:cs="Arial"/>
          <w:color w:val="000000"/>
          <w:sz w:val="20"/>
          <w:szCs w:val="20"/>
          <w:lang w:val="de-AT" w:eastAsia="de-AT"/>
        </w:rPr>
        <w:t>Das angestrebte umfassende Volumen an Regulierungsunterschieden, d</w:t>
      </w:r>
      <w:r w:rsidR="00D63D92" w:rsidRPr="00A31B8E">
        <w:rPr>
          <w:rFonts w:ascii="Arial" w:hAnsi="Arial" w:cs="Arial"/>
          <w:color w:val="000000"/>
          <w:sz w:val="20"/>
          <w:szCs w:val="20"/>
          <w:lang w:val="de-AT" w:eastAsia="de-AT"/>
        </w:rPr>
        <w:t>as</w:t>
      </w:r>
      <w:r w:rsidRPr="00A31B8E">
        <w:rPr>
          <w:rFonts w:ascii="Arial" w:hAnsi="Arial" w:cs="Arial"/>
          <w:color w:val="000000"/>
          <w:sz w:val="20"/>
          <w:szCs w:val="20"/>
          <w:lang w:val="de-AT" w:eastAsia="de-AT"/>
        </w:rPr>
        <w:t xml:space="preserve"> abgebaut werden soll, lässt befürchten, dass im Rahmen der Verhan</w:t>
      </w:r>
      <w:r w:rsidR="008F6BD8" w:rsidRPr="00A31B8E">
        <w:rPr>
          <w:rFonts w:ascii="Arial" w:hAnsi="Arial" w:cs="Arial"/>
          <w:color w:val="000000"/>
          <w:sz w:val="20"/>
          <w:szCs w:val="20"/>
          <w:lang w:val="de-AT" w:eastAsia="de-AT"/>
        </w:rPr>
        <w:t>dlungen über Harmonisierung bzw</w:t>
      </w:r>
      <w:r w:rsidRPr="00A31B8E">
        <w:rPr>
          <w:rFonts w:ascii="Arial" w:hAnsi="Arial" w:cs="Arial"/>
          <w:color w:val="000000"/>
          <w:sz w:val="20"/>
          <w:szCs w:val="20"/>
          <w:lang w:val="de-AT" w:eastAsia="de-AT"/>
        </w:rPr>
        <w:t xml:space="preserve"> gegenseitige Anerkennung von Regeln auch wichtige Vorschriften und Regulierungen im öffentlichen Interesse gelockert oder gar aufgehoben werden könnten. </w:t>
      </w:r>
    </w:p>
    <w:p w:rsidR="002E0042" w:rsidRPr="00A31B8E" w:rsidRDefault="0022799E" w:rsidP="00394ADC">
      <w:pPr>
        <w:spacing w:line="280" w:lineRule="exact"/>
        <w:contextualSpacing/>
        <w:jc w:val="both"/>
        <w:rPr>
          <w:rFonts w:ascii="Arial" w:hAnsi="Arial" w:cs="Arial"/>
          <w:color w:val="000000"/>
          <w:sz w:val="20"/>
          <w:szCs w:val="20"/>
          <w:lang w:val="de-AT" w:eastAsia="de-AT"/>
        </w:rPr>
      </w:pPr>
      <w:r w:rsidRPr="00A31B8E">
        <w:rPr>
          <w:rFonts w:ascii="Arial" w:hAnsi="Arial" w:cs="Arial"/>
          <w:color w:val="000000"/>
          <w:sz w:val="20"/>
          <w:szCs w:val="20"/>
          <w:lang w:val="de-AT" w:eastAsia="de-AT"/>
        </w:rPr>
        <w:t>Ferner</w:t>
      </w:r>
      <w:r w:rsidR="003914AE" w:rsidRPr="00A31B8E">
        <w:rPr>
          <w:rFonts w:ascii="Arial" w:hAnsi="Arial" w:cs="Arial"/>
          <w:color w:val="000000"/>
          <w:sz w:val="20"/>
          <w:szCs w:val="20"/>
          <w:lang w:val="de-AT" w:eastAsia="de-AT"/>
        </w:rPr>
        <w:t xml:space="preserve"> soll ein sogenannter Regulierungsrat (</w:t>
      </w:r>
      <w:proofErr w:type="spellStart"/>
      <w:r w:rsidR="003914AE" w:rsidRPr="00A31B8E">
        <w:rPr>
          <w:rFonts w:ascii="Arial" w:hAnsi="Arial" w:cs="Arial"/>
          <w:color w:val="000000"/>
          <w:sz w:val="20"/>
          <w:szCs w:val="20"/>
          <w:lang w:val="de-AT" w:eastAsia="de-AT"/>
        </w:rPr>
        <w:t>Regulatory</w:t>
      </w:r>
      <w:proofErr w:type="spellEnd"/>
      <w:r w:rsidR="003914AE" w:rsidRPr="00A31B8E">
        <w:rPr>
          <w:rFonts w:ascii="Arial" w:hAnsi="Arial" w:cs="Arial"/>
          <w:color w:val="000000"/>
          <w:sz w:val="20"/>
          <w:szCs w:val="20"/>
          <w:lang w:val="de-AT" w:eastAsia="de-AT"/>
        </w:rPr>
        <w:t xml:space="preserve"> </w:t>
      </w:r>
      <w:proofErr w:type="spellStart"/>
      <w:r w:rsidR="003914AE" w:rsidRPr="00A31B8E">
        <w:rPr>
          <w:rFonts w:ascii="Arial" w:hAnsi="Arial" w:cs="Arial"/>
          <w:color w:val="000000"/>
          <w:sz w:val="20"/>
          <w:szCs w:val="20"/>
          <w:lang w:val="de-AT" w:eastAsia="de-AT"/>
        </w:rPr>
        <w:t>Cooperation</w:t>
      </w:r>
      <w:proofErr w:type="spellEnd"/>
      <w:r w:rsidR="003914AE" w:rsidRPr="00A31B8E">
        <w:rPr>
          <w:rFonts w:ascii="Arial" w:hAnsi="Arial" w:cs="Arial"/>
          <w:color w:val="000000"/>
          <w:sz w:val="20"/>
          <w:szCs w:val="20"/>
          <w:lang w:val="de-AT" w:eastAsia="de-AT"/>
        </w:rPr>
        <w:t xml:space="preserve"> Council) dafür sorgen, dass </w:t>
      </w:r>
      <w:r w:rsidR="002E0042" w:rsidRPr="00A31B8E">
        <w:rPr>
          <w:rFonts w:ascii="Arial" w:hAnsi="Arial" w:cs="Arial"/>
          <w:color w:val="000000"/>
          <w:sz w:val="20"/>
          <w:szCs w:val="20"/>
          <w:lang w:val="de-AT" w:eastAsia="de-AT"/>
        </w:rPr>
        <w:t xml:space="preserve">auch </w:t>
      </w:r>
      <w:r w:rsidR="003914AE" w:rsidRPr="00A31B8E">
        <w:rPr>
          <w:rFonts w:ascii="Arial" w:hAnsi="Arial" w:cs="Arial"/>
          <w:color w:val="000000"/>
          <w:sz w:val="20"/>
          <w:szCs w:val="20"/>
          <w:lang w:val="de-AT" w:eastAsia="de-AT"/>
        </w:rPr>
        <w:t xml:space="preserve">nach Abschluss der Verhandlungen an weiteren Harmonisierungen und gegenseitigen Anerkennungen von bestehenden und zukünftigen Regelungen in den USA und der EU </w:t>
      </w:r>
      <w:r w:rsidR="002E0042" w:rsidRPr="00A31B8E">
        <w:rPr>
          <w:rFonts w:ascii="Arial" w:hAnsi="Arial" w:cs="Arial"/>
          <w:color w:val="000000"/>
          <w:sz w:val="20"/>
          <w:szCs w:val="20"/>
          <w:lang w:val="de-AT" w:eastAsia="de-AT"/>
        </w:rPr>
        <w:t>weiter</w:t>
      </w:r>
      <w:r w:rsidR="003914AE" w:rsidRPr="00A31B8E">
        <w:rPr>
          <w:rFonts w:ascii="Arial" w:hAnsi="Arial" w:cs="Arial"/>
          <w:color w:val="000000"/>
          <w:sz w:val="20"/>
          <w:szCs w:val="20"/>
          <w:lang w:val="de-AT" w:eastAsia="de-AT"/>
        </w:rPr>
        <w:t xml:space="preserve">gearbeitet wird. Der transatlantische Regulierungsrat soll aus VertreterInnen der Regulierungsbehörden bestehen. Gehen aus dem Regulierungsrat Einigungen in bestimmten Regulierungsbereichen hervor, sollen diese auch nach In-Kraft-Treten dem Abkommen hinzugefügt werden können – möglicherweise </w:t>
      </w:r>
      <w:r w:rsidR="002E0042" w:rsidRPr="00A31B8E">
        <w:rPr>
          <w:rFonts w:ascii="Arial" w:hAnsi="Arial" w:cs="Arial"/>
          <w:color w:val="000000"/>
          <w:sz w:val="20"/>
          <w:szCs w:val="20"/>
          <w:lang w:val="de-AT" w:eastAsia="de-AT"/>
        </w:rPr>
        <w:t xml:space="preserve">auch </w:t>
      </w:r>
      <w:r w:rsidR="003914AE" w:rsidRPr="00A31B8E">
        <w:rPr>
          <w:rFonts w:ascii="Arial" w:hAnsi="Arial" w:cs="Arial"/>
          <w:color w:val="000000"/>
          <w:sz w:val="20"/>
          <w:szCs w:val="20"/>
          <w:lang w:val="de-AT" w:eastAsia="de-AT"/>
        </w:rPr>
        <w:t xml:space="preserve">ohne Ratifizierung durch die Parlamente. Das </w:t>
      </w:r>
      <w:r w:rsidR="00D33E3C" w:rsidRPr="00A31B8E">
        <w:rPr>
          <w:rFonts w:ascii="Arial" w:hAnsi="Arial" w:cs="Arial"/>
          <w:color w:val="000000"/>
          <w:sz w:val="20"/>
          <w:szCs w:val="20"/>
          <w:lang w:val="de-AT" w:eastAsia="de-AT"/>
        </w:rPr>
        <w:t xml:space="preserve">ist </w:t>
      </w:r>
      <w:r w:rsidR="003914AE" w:rsidRPr="00A31B8E">
        <w:rPr>
          <w:rFonts w:ascii="Arial" w:hAnsi="Arial" w:cs="Arial"/>
          <w:color w:val="000000"/>
          <w:sz w:val="20"/>
          <w:szCs w:val="20"/>
          <w:lang w:val="de-AT" w:eastAsia="de-AT"/>
        </w:rPr>
        <w:t>gemeinsam</w:t>
      </w:r>
      <w:r w:rsidR="009A5EEE">
        <w:rPr>
          <w:rFonts w:ascii="Arial" w:hAnsi="Arial" w:cs="Arial"/>
          <w:color w:val="000000"/>
          <w:sz w:val="20"/>
          <w:szCs w:val="20"/>
          <w:lang w:val="de-AT" w:eastAsia="de-AT"/>
        </w:rPr>
        <w:t xml:space="preserve"> mit der tendenziell einseitiger</w:t>
      </w:r>
      <w:r w:rsidR="003914AE" w:rsidRPr="00A31B8E">
        <w:rPr>
          <w:rFonts w:ascii="Arial" w:hAnsi="Arial" w:cs="Arial"/>
          <w:color w:val="000000"/>
          <w:sz w:val="20"/>
          <w:szCs w:val="20"/>
          <w:lang w:val="de-AT" w:eastAsia="de-AT"/>
        </w:rPr>
        <w:t xml:space="preserve"> Betrachtungsweise von Regulierungen als Handelshemmnisse demokratiepolitisch </w:t>
      </w:r>
      <w:r w:rsidR="00D33E3C" w:rsidRPr="00A31B8E">
        <w:rPr>
          <w:rFonts w:ascii="Arial" w:hAnsi="Arial" w:cs="Arial"/>
          <w:color w:val="000000"/>
          <w:sz w:val="20"/>
          <w:szCs w:val="20"/>
          <w:lang w:val="de-AT" w:eastAsia="de-AT"/>
        </w:rPr>
        <w:t>bedenklich</w:t>
      </w:r>
      <w:r w:rsidR="003914AE" w:rsidRPr="00A31B8E">
        <w:rPr>
          <w:rFonts w:ascii="Arial" w:hAnsi="Arial" w:cs="Arial"/>
          <w:color w:val="000000"/>
          <w:sz w:val="20"/>
          <w:szCs w:val="20"/>
          <w:lang w:val="de-AT" w:eastAsia="de-AT"/>
        </w:rPr>
        <w:t xml:space="preserve">. </w:t>
      </w:r>
    </w:p>
    <w:p w:rsidR="00161927" w:rsidRPr="00A725B3" w:rsidRDefault="00394ADC" w:rsidP="00394ADC">
      <w:pPr>
        <w:spacing w:line="280" w:lineRule="exact"/>
        <w:contextualSpacing/>
        <w:jc w:val="both"/>
        <w:rPr>
          <w:rFonts w:ascii="Arial" w:hAnsi="Arial" w:cs="Arial"/>
          <w:b/>
          <w:i/>
          <w:color w:val="000000"/>
          <w:sz w:val="20"/>
          <w:szCs w:val="20"/>
          <w:u w:val="single"/>
          <w:lang w:val="de-AT" w:eastAsia="de-AT"/>
        </w:rPr>
      </w:pPr>
      <w:r w:rsidRPr="00A31B8E">
        <w:rPr>
          <w:rFonts w:ascii="Arial" w:hAnsi="Arial" w:cs="Arial"/>
          <w:b/>
          <w:color w:val="000000"/>
          <w:sz w:val="20"/>
          <w:szCs w:val="20"/>
          <w:lang w:val="de-AT" w:eastAsia="de-AT"/>
        </w:rPr>
        <w:t xml:space="preserve">Die </w:t>
      </w:r>
      <w:r w:rsidR="000342EF">
        <w:rPr>
          <w:rFonts w:ascii="Arial" w:hAnsi="Arial" w:cs="Arial"/>
          <w:b/>
          <w:bCs/>
          <w:sz w:val="20"/>
          <w:szCs w:val="20"/>
          <w:lang w:eastAsia="de-AT"/>
        </w:rPr>
        <w:t>Vollversammlung der AK</w:t>
      </w:r>
      <w:r w:rsidR="0022799E" w:rsidRPr="00A31B8E">
        <w:rPr>
          <w:rFonts w:ascii="Arial" w:hAnsi="Arial" w:cs="Arial"/>
          <w:b/>
          <w:bCs/>
          <w:sz w:val="20"/>
          <w:szCs w:val="20"/>
          <w:lang w:eastAsia="de-AT"/>
        </w:rPr>
        <w:t xml:space="preserve"> Wien </w:t>
      </w:r>
      <w:r w:rsidRPr="00A31B8E">
        <w:rPr>
          <w:rFonts w:ascii="Arial" w:hAnsi="Arial" w:cs="Arial"/>
          <w:b/>
          <w:color w:val="000000"/>
          <w:sz w:val="20"/>
          <w:szCs w:val="20"/>
          <w:lang w:val="de-AT" w:eastAsia="de-AT"/>
        </w:rPr>
        <w:t xml:space="preserve">fordert daher, dass Regulierungen zum Schutz von ArbeitnehmerInnen, KonsumentInnen – insbesondere Lebensmittelsicherheit und Datenschutz – sowie der Umwelt keinesfalls gesenkt </w:t>
      </w:r>
      <w:r w:rsidR="00262B0E" w:rsidRPr="00A31B8E">
        <w:rPr>
          <w:rFonts w:ascii="Arial" w:hAnsi="Arial" w:cs="Arial"/>
          <w:b/>
          <w:color w:val="000000"/>
          <w:sz w:val="20"/>
          <w:szCs w:val="20"/>
          <w:lang w:val="de-AT" w:eastAsia="de-AT"/>
        </w:rPr>
        <w:t>bzw</w:t>
      </w:r>
      <w:r w:rsidRPr="00A31B8E">
        <w:rPr>
          <w:rFonts w:ascii="Arial" w:hAnsi="Arial" w:cs="Arial"/>
          <w:b/>
          <w:color w:val="000000"/>
          <w:sz w:val="20"/>
          <w:szCs w:val="20"/>
          <w:lang w:val="de-AT" w:eastAsia="de-AT"/>
        </w:rPr>
        <w:t xml:space="preserve"> deren </w:t>
      </w:r>
      <w:r w:rsidR="00262B0E" w:rsidRPr="00A31B8E">
        <w:rPr>
          <w:rFonts w:ascii="Arial" w:hAnsi="Arial" w:cs="Arial"/>
          <w:b/>
          <w:color w:val="000000"/>
          <w:sz w:val="20"/>
          <w:szCs w:val="20"/>
          <w:lang w:val="de-AT" w:eastAsia="de-AT"/>
        </w:rPr>
        <w:t>zu</w:t>
      </w:r>
      <w:r w:rsidRPr="00A31B8E">
        <w:rPr>
          <w:rFonts w:ascii="Arial" w:hAnsi="Arial" w:cs="Arial"/>
          <w:b/>
          <w:color w:val="000000"/>
          <w:sz w:val="20"/>
          <w:szCs w:val="20"/>
          <w:lang w:val="de-AT" w:eastAsia="de-AT"/>
        </w:rPr>
        <w:t>künftige Anhebung eingeschränkt werden dürfen.</w:t>
      </w:r>
      <w:r w:rsidR="00A725B3">
        <w:rPr>
          <w:rFonts w:ascii="Arial" w:hAnsi="Arial" w:cs="Arial"/>
          <w:b/>
          <w:color w:val="000000"/>
          <w:sz w:val="20"/>
          <w:szCs w:val="20"/>
          <w:lang w:val="de-AT" w:eastAsia="de-AT"/>
        </w:rPr>
        <w:t xml:space="preserve"> </w:t>
      </w:r>
      <w:r w:rsidR="00A725B3">
        <w:rPr>
          <w:rFonts w:ascii="Arial" w:hAnsi="Arial" w:cs="Arial"/>
          <w:b/>
          <w:i/>
          <w:color w:val="000000"/>
          <w:sz w:val="20"/>
          <w:szCs w:val="20"/>
          <w:u w:val="single"/>
          <w:lang w:val="de-AT" w:eastAsia="de-AT"/>
        </w:rPr>
        <w:t>Nein auch zur Einrichtung gesonderter transnationaler Behörden, in der alle künftigen Regulierungen auf den Prüfstand kommen sollen.</w:t>
      </w:r>
    </w:p>
    <w:p w:rsidR="0007071C" w:rsidRPr="00A31B8E" w:rsidRDefault="0007071C" w:rsidP="00394ADC">
      <w:pPr>
        <w:spacing w:line="280" w:lineRule="exact"/>
        <w:contextualSpacing/>
        <w:jc w:val="both"/>
        <w:rPr>
          <w:rFonts w:ascii="Arial" w:hAnsi="Arial" w:cs="Arial"/>
          <w:color w:val="000000"/>
          <w:sz w:val="20"/>
          <w:szCs w:val="20"/>
          <w:lang w:val="de-AT" w:eastAsia="de-AT"/>
        </w:rPr>
      </w:pPr>
    </w:p>
    <w:p w:rsidR="00E41335" w:rsidRPr="00A31B8E" w:rsidRDefault="00E41335" w:rsidP="00AD606A">
      <w:pPr>
        <w:spacing w:line="280" w:lineRule="exact"/>
        <w:jc w:val="both"/>
        <w:rPr>
          <w:rFonts w:ascii="Arial" w:hAnsi="Arial" w:cs="Arial"/>
          <w:b/>
          <w:sz w:val="20"/>
          <w:szCs w:val="20"/>
        </w:rPr>
      </w:pPr>
      <w:r w:rsidRPr="00A31B8E">
        <w:rPr>
          <w:rFonts w:ascii="Arial" w:hAnsi="Arial" w:cs="Arial"/>
          <w:b/>
          <w:sz w:val="20"/>
          <w:szCs w:val="20"/>
        </w:rPr>
        <w:t xml:space="preserve">Einklagbare </w:t>
      </w:r>
      <w:r w:rsidR="00262B0E" w:rsidRPr="00A31B8E">
        <w:rPr>
          <w:rFonts w:ascii="Arial" w:hAnsi="Arial" w:cs="Arial"/>
          <w:b/>
          <w:sz w:val="20"/>
          <w:szCs w:val="20"/>
        </w:rPr>
        <w:t>Mindesta</w:t>
      </w:r>
      <w:r w:rsidR="00056350" w:rsidRPr="00A31B8E">
        <w:rPr>
          <w:rFonts w:ascii="Arial" w:hAnsi="Arial" w:cs="Arial"/>
          <w:b/>
          <w:sz w:val="20"/>
          <w:szCs w:val="20"/>
        </w:rPr>
        <w:t>rbeitsstandards</w:t>
      </w:r>
    </w:p>
    <w:p w:rsidR="003C63DF" w:rsidRPr="00A31B8E" w:rsidRDefault="00E41335" w:rsidP="003C63DF">
      <w:pPr>
        <w:spacing w:line="280" w:lineRule="exact"/>
        <w:contextualSpacing/>
        <w:jc w:val="both"/>
        <w:rPr>
          <w:rFonts w:ascii="Arial" w:hAnsi="Arial" w:cs="Arial"/>
          <w:bCs/>
          <w:sz w:val="20"/>
          <w:szCs w:val="20"/>
          <w:lang w:eastAsia="de-AT"/>
        </w:rPr>
      </w:pPr>
      <w:r w:rsidRPr="00A31B8E">
        <w:rPr>
          <w:rFonts w:ascii="Arial" w:hAnsi="Arial" w:cs="Arial"/>
          <w:bCs/>
          <w:sz w:val="20"/>
          <w:szCs w:val="20"/>
          <w:lang w:eastAsia="de-AT"/>
        </w:rPr>
        <w:t xml:space="preserve">Die USA haben bisher lediglich zwei der insgesamt acht ILO-Kernarbeitsnormen ratifiziert. Nicht ratifiziert wurden bisher die Konventionen über die freie Gründung von Gewerkschaften, über Kollektivvertragsfreiheit, über Zwangsarbeit, über die gleiche Entlohnung, über die Nichtdiskriminierung am Arbeitsplatz und über das Mindestalter zur Beschäftigung. </w:t>
      </w:r>
      <w:r w:rsidR="003914AE" w:rsidRPr="00A31B8E" w:rsidDel="00272BA0">
        <w:rPr>
          <w:rFonts w:ascii="Arial" w:hAnsi="Arial" w:cs="Arial"/>
          <w:bCs/>
          <w:sz w:val="20"/>
          <w:szCs w:val="20"/>
          <w:lang w:eastAsia="de-AT"/>
        </w:rPr>
        <w:t>Darüber hinaus müssen die Ratifizierung und Einhaltung auch weiterer, für entwickelte Industriestaaten angemessene, ILO-Arbeitsstandards im Abkommen verankert werden.</w:t>
      </w:r>
      <w:r w:rsidR="003914AE" w:rsidRPr="00A31B8E">
        <w:rPr>
          <w:rFonts w:ascii="Arial" w:hAnsi="Arial" w:cs="Arial"/>
          <w:bCs/>
          <w:sz w:val="20"/>
          <w:szCs w:val="20"/>
          <w:lang w:eastAsia="de-AT"/>
        </w:rPr>
        <w:t xml:space="preserve"> </w:t>
      </w:r>
      <w:r w:rsidR="00776704" w:rsidRPr="00A31B8E">
        <w:rPr>
          <w:rFonts w:ascii="Arial" w:hAnsi="Arial" w:cs="Arial"/>
          <w:bCs/>
          <w:sz w:val="20"/>
          <w:szCs w:val="20"/>
          <w:lang w:eastAsia="de-AT"/>
        </w:rPr>
        <w:t>Besonders besorgniserregend sind die gewerkschaftsfeindlichen „</w:t>
      </w:r>
      <w:proofErr w:type="spellStart"/>
      <w:r w:rsidR="00776704" w:rsidRPr="00A31B8E">
        <w:rPr>
          <w:rFonts w:ascii="Arial" w:hAnsi="Arial" w:cs="Arial"/>
          <w:bCs/>
          <w:sz w:val="20"/>
          <w:szCs w:val="20"/>
          <w:lang w:eastAsia="de-AT"/>
        </w:rPr>
        <w:t>Right</w:t>
      </w:r>
      <w:proofErr w:type="spellEnd"/>
      <w:r w:rsidR="00776704" w:rsidRPr="00A31B8E">
        <w:rPr>
          <w:rFonts w:ascii="Arial" w:hAnsi="Arial" w:cs="Arial"/>
          <w:bCs/>
          <w:sz w:val="20"/>
          <w:szCs w:val="20"/>
          <w:lang w:eastAsia="de-AT"/>
        </w:rPr>
        <w:t xml:space="preserve"> </w:t>
      </w:r>
      <w:proofErr w:type="spellStart"/>
      <w:r w:rsidR="00776704" w:rsidRPr="00A31B8E">
        <w:rPr>
          <w:rFonts w:ascii="Arial" w:hAnsi="Arial" w:cs="Arial"/>
          <w:bCs/>
          <w:sz w:val="20"/>
          <w:szCs w:val="20"/>
          <w:lang w:eastAsia="de-AT"/>
        </w:rPr>
        <w:t>to</w:t>
      </w:r>
      <w:proofErr w:type="spellEnd"/>
      <w:r w:rsidR="00776704" w:rsidRPr="00A31B8E">
        <w:rPr>
          <w:rFonts w:ascii="Arial" w:hAnsi="Arial" w:cs="Arial"/>
          <w:bCs/>
          <w:sz w:val="20"/>
          <w:szCs w:val="20"/>
          <w:lang w:eastAsia="de-AT"/>
        </w:rPr>
        <w:t xml:space="preserve"> </w:t>
      </w:r>
      <w:proofErr w:type="spellStart"/>
      <w:r w:rsidR="00776704" w:rsidRPr="00A31B8E">
        <w:rPr>
          <w:rFonts w:ascii="Arial" w:hAnsi="Arial" w:cs="Arial"/>
          <w:bCs/>
          <w:sz w:val="20"/>
          <w:szCs w:val="20"/>
          <w:lang w:eastAsia="de-AT"/>
        </w:rPr>
        <w:t>work</w:t>
      </w:r>
      <w:proofErr w:type="spellEnd"/>
      <w:r w:rsidR="00776704" w:rsidRPr="00A31B8E">
        <w:rPr>
          <w:rFonts w:ascii="Arial" w:hAnsi="Arial" w:cs="Arial"/>
          <w:bCs/>
          <w:sz w:val="20"/>
          <w:szCs w:val="20"/>
          <w:lang w:eastAsia="de-AT"/>
        </w:rPr>
        <w:t>“-Gesetze, die in der Hälfte der US-Bundesstaaten bestehen.</w:t>
      </w:r>
    </w:p>
    <w:p w:rsidR="00E41335" w:rsidRPr="00A31B8E" w:rsidRDefault="003C63DF" w:rsidP="00AD606A">
      <w:pPr>
        <w:spacing w:line="280" w:lineRule="exact"/>
        <w:contextualSpacing/>
        <w:jc w:val="both"/>
        <w:rPr>
          <w:rFonts w:ascii="Arial" w:hAnsi="Arial" w:cs="Arial"/>
          <w:b/>
          <w:bCs/>
          <w:sz w:val="20"/>
          <w:szCs w:val="20"/>
          <w:lang w:eastAsia="de-AT"/>
        </w:rPr>
      </w:pPr>
      <w:r w:rsidRPr="00A31B8E">
        <w:rPr>
          <w:rFonts w:ascii="Arial" w:hAnsi="Arial" w:cs="Arial"/>
          <w:b/>
          <w:bCs/>
          <w:sz w:val="20"/>
          <w:szCs w:val="20"/>
          <w:lang w:eastAsia="de-AT"/>
        </w:rPr>
        <w:t xml:space="preserve">Die </w:t>
      </w:r>
      <w:r w:rsidR="000342EF">
        <w:rPr>
          <w:rFonts w:ascii="Arial" w:hAnsi="Arial" w:cs="Arial"/>
          <w:b/>
          <w:bCs/>
          <w:sz w:val="20"/>
          <w:szCs w:val="20"/>
          <w:lang w:eastAsia="de-AT"/>
        </w:rPr>
        <w:t xml:space="preserve">Vollversammlung der AK </w:t>
      </w:r>
      <w:r w:rsidR="0022799E" w:rsidRPr="00A31B8E">
        <w:rPr>
          <w:rFonts w:ascii="Arial" w:hAnsi="Arial" w:cs="Arial"/>
          <w:b/>
          <w:bCs/>
          <w:sz w:val="20"/>
          <w:szCs w:val="20"/>
          <w:lang w:eastAsia="de-AT"/>
        </w:rPr>
        <w:t>Wien</w:t>
      </w:r>
      <w:r w:rsidR="00272BA0" w:rsidRPr="00A31B8E">
        <w:rPr>
          <w:rFonts w:ascii="Arial" w:hAnsi="Arial" w:cs="Arial"/>
          <w:b/>
          <w:bCs/>
          <w:sz w:val="20"/>
          <w:szCs w:val="20"/>
          <w:lang w:eastAsia="de-AT"/>
        </w:rPr>
        <w:t xml:space="preserve"> </w:t>
      </w:r>
      <w:r w:rsidRPr="00A31B8E">
        <w:rPr>
          <w:rFonts w:ascii="Arial" w:hAnsi="Arial" w:cs="Arial"/>
          <w:b/>
          <w:bCs/>
          <w:sz w:val="20"/>
          <w:szCs w:val="20"/>
          <w:lang w:eastAsia="de-AT"/>
        </w:rPr>
        <w:t xml:space="preserve">fordert die verbindliche Verankerung der Ratifizierung, Umsetzung und Anwendung </w:t>
      </w:r>
      <w:r w:rsidR="00056350" w:rsidRPr="00A31B8E">
        <w:rPr>
          <w:rFonts w:ascii="Arial" w:hAnsi="Arial" w:cs="Arial"/>
          <w:b/>
          <w:bCs/>
          <w:sz w:val="20"/>
          <w:szCs w:val="20"/>
          <w:lang w:eastAsia="de-AT"/>
        </w:rPr>
        <w:t>zumindest aller acht</w:t>
      </w:r>
      <w:r w:rsidRPr="00A31B8E">
        <w:rPr>
          <w:rFonts w:ascii="Arial" w:hAnsi="Arial" w:cs="Arial"/>
          <w:b/>
          <w:bCs/>
          <w:sz w:val="20"/>
          <w:szCs w:val="20"/>
          <w:lang w:eastAsia="de-AT"/>
        </w:rPr>
        <w:t xml:space="preserve"> ILO-Kernarbeitsnormen im TTIP</w:t>
      </w:r>
      <w:r w:rsidR="00DB2506" w:rsidRPr="00A31B8E">
        <w:rPr>
          <w:rFonts w:ascii="Arial" w:hAnsi="Arial" w:cs="Arial"/>
          <w:b/>
          <w:bCs/>
          <w:sz w:val="20"/>
          <w:szCs w:val="20"/>
          <w:lang w:eastAsia="de-AT"/>
        </w:rPr>
        <w:t>. A</w:t>
      </w:r>
      <w:r w:rsidR="00272BA0" w:rsidRPr="00A31B8E">
        <w:rPr>
          <w:rFonts w:ascii="Arial" w:hAnsi="Arial" w:cs="Arial"/>
          <w:b/>
          <w:bCs/>
          <w:sz w:val="20"/>
          <w:szCs w:val="20"/>
          <w:lang w:eastAsia="de-AT"/>
        </w:rPr>
        <w:t xml:space="preserve">uch </w:t>
      </w:r>
      <w:r w:rsidR="00E41335" w:rsidRPr="00A31B8E">
        <w:rPr>
          <w:rFonts w:ascii="Arial" w:hAnsi="Arial" w:cs="Arial"/>
          <w:b/>
          <w:bCs/>
          <w:sz w:val="20"/>
          <w:szCs w:val="20"/>
          <w:lang w:eastAsia="de-AT"/>
        </w:rPr>
        <w:t xml:space="preserve">Verstöße gegen </w:t>
      </w:r>
      <w:r w:rsidR="00272BA0" w:rsidRPr="00A31B8E">
        <w:rPr>
          <w:rFonts w:ascii="Arial" w:hAnsi="Arial" w:cs="Arial"/>
          <w:b/>
          <w:bCs/>
          <w:sz w:val="20"/>
          <w:szCs w:val="20"/>
          <w:lang w:eastAsia="de-AT"/>
        </w:rPr>
        <w:t xml:space="preserve">Arbeitsstandards </w:t>
      </w:r>
      <w:r w:rsidR="00DB2506" w:rsidRPr="00A31B8E">
        <w:rPr>
          <w:rFonts w:ascii="Arial" w:hAnsi="Arial" w:cs="Arial"/>
          <w:b/>
          <w:bCs/>
          <w:sz w:val="20"/>
          <w:szCs w:val="20"/>
          <w:lang w:eastAsia="de-AT"/>
        </w:rPr>
        <w:t xml:space="preserve">müssen </w:t>
      </w:r>
      <w:r w:rsidR="00E41335" w:rsidRPr="00A31B8E">
        <w:rPr>
          <w:rFonts w:ascii="Arial" w:hAnsi="Arial" w:cs="Arial"/>
          <w:b/>
          <w:bCs/>
          <w:sz w:val="20"/>
          <w:szCs w:val="20"/>
          <w:lang w:eastAsia="de-AT"/>
        </w:rPr>
        <w:t>im Rahmen des Abkommens</w:t>
      </w:r>
      <w:r w:rsidR="00272BA0" w:rsidRPr="00A31B8E">
        <w:rPr>
          <w:rFonts w:ascii="Arial" w:hAnsi="Arial" w:cs="Arial"/>
          <w:b/>
          <w:bCs/>
          <w:sz w:val="20"/>
          <w:szCs w:val="20"/>
          <w:lang w:eastAsia="de-AT"/>
        </w:rPr>
        <w:t xml:space="preserve"> </w:t>
      </w:r>
      <w:r w:rsidR="00E41335" w:rsidRPr="00A31B8E">
        <w:rPr>
          <w:rFonts w:ascii="Arial" w:hAnsi="Arial" w:cs="Arial"/>
          <w:b/>
          <w:bCs/>
          <w:sz w:val="20"/>
          <w:szCs w:val="20"/>
          <w:lang w:eastAsia="de-AT"/>
        </w:rPr>
        <w:t xml:space="preserve">einklagbar und </w:t>
      </w:r>
      <w:proofErr w:type="spellStart"/>
      <w:r w:rsidR="00E41335" w:rsidRPr="00A31B8E">
        <w:rPr>
          <w:rFonts w:ascii="Arial" w:hAnsi="Arial" w:cs="Arial"/>
          <w:b/>
          <w:bCs/>
          <w:sz w:val="20"/>
          <w:szCs w:val="20"/>
          <w:lang w:eastAsia="de-AT"/>
        </w:rPr>
        <w:t>sanktionierbar</w:t>
      </w:r>
      <w:proofErr w:type="spellEnd"/>
      <w:r w:rsidR="00E41335" w:rsidRPr="00A31B8E">
        <w:rPr>
          <w:rFonts w:ascii="Arial" w:hAnsi="Arial" w:cs="Arial"/>
          <w:b/>
          <w:bCs/>
          <w:sz w:val="20"/>
          <w:szCs w:val="20"/>
          <w:lang w:eastAsia="de-AT"/>
        </w:rPr>
        <w:t xml:space="preserve"> </w:t>
      </w:r>
      <w:r w:rsidRPr="00A31B8E">
        <w:rPr>
          <w:rFonts w:ascii="Arial" w:hAnsi="Arial" w:cs="Arial"/>
          <w:b/>
          <w:bCs/>
          <w:sz w:val="20"/>
          <w:szCs w:val="20"/>
          <w:lang w:eastAsia="de-AT"/>
        </w:rPr>
        <w:t>sein.</w:t>
      </w:r>
    </w:p>
    <w:p w:rsidR="009D2327" w:rsidRPr="00A31B8E" w:rsidRDefault="009D2327" w:rsidP="00AD606A">
      <w:pPr>
        <w:spacing w:line="280" w:lineRule="exact"/>
        <w:contextualSpacing/>
        <w:jc w:val="both"/>
        <w:rPr>
          <w:rFonts w:ascii="Arial" w:hAnsi="Arial" w:cs="Arial"/>
          <w:b/>
          <w:bCs/>
          <w:sz w:val="20"/>
          <w:szCs w:val="20"/>
          <w:lang w:eastAsia="de-AT"/>
        </w:rPr>
      </w:pPr>
    </w:p>
    <w:p w:rsidR="007666F3" w:rsidRPr="00A31B8E" w:rsidRDefault="007666F3" w:rsidP="00AD606A">
      <w:pPr>
        <w:spacing w:line="280" w:lineRule="exact"/>
        <w:jc w:val="both"/>
        <w:rPr>
          <w:rFonts w:ascii="Arial" w:hAnsi="Arial" w:cs="Arial"/>
          <w:b/>
          <w:bCs/>
          <w:sz w:val="20"/>
          <w:szCs w:val="20"/>
          <w:lang w:eastAsia="de-AT"/>
        </w:rPr>
      </w:pPr>
      <w:r w:rsidRPr="00A31B8E">
        <w:rPr>
          <w:rFonts w:ascii="Arial" w:hAnsi="Arial" w:cs="Arial"/>
          <w:b/>
          <w:bCs/>
          <w:sz w:val="20"/>
          <w:szCs w:val="20"/>
          <w:lang w:eastAsia="de-AT"/>
        </w:rPr>
        <w:t xml:space="preserve">Voraussetzungen für die Zustimmung </w:t>
      </w:r>
      <w:r w:rsidR="004F5C68">
        <w:rPr>
          <w:rFonts w:ascii="Arial" w:hAnsi="Arial" w:cs="Arial"/>
          <w:b/>
          <w:bCs/>
          <w:i/>
          <w:color w:val="FF0000"/>
          <w:sz w:val="20"/>
          <w:szCs w:val="20"/>
          <w:u w:val="single"/>
          <w:lang w:eastAsia="de-AT"/>
        </w:rPr>
        <w:t xml:space="preserve">zu </w:t>
      </w:r>
      <w:proofErr w:type="spellStart"/>
      <w:r w:rsidR="004F5C68">
        <w:rPr>
          <w:rFonts w:ascii="Arial" w:hAnsi="Arial" w:cs="Arial"/>
          <w:b/>
          <w:bCs/>
          <w:i/>
          <w:color w:val="FF0000"/>
          <w:sz w:val="20"/>
          <w:szCs w:val="20"/>
          <w:u w:val="single"/>
          <w:lang w:eastAsia="de-AT"/>
        </w:rPr>
        <w:t>weiteren</w:t>
      </w:r>
      <w:r w:rsidRPr="004F5C68">
        <w:rPr>
          <w:rFonts w:ascii="Arial" w:hAnsi="Arial" w:cs="Arial"/>
          <w:b/>
          <w:bCs/>
          <w:i/>
          <w:strike/>
          <w:color w:val="FF0000"/>
          <w:sz w:val="20"/>
          <w:szCs w:val="20"/>
          <w:u w:val="single"/>
          <w:lang w:eastAsia="de-AT"/>
        </w:rPr>
        <w:t>weiterer</w:t>
      </w:r>
      <w:proofErr w:type="spellEnd"/>
      <w:r w:rsidRPr="00A31B8E">
        <w:rPr>
          <w:rFonts w:ascii="Arial" w:hAnsi="Arial" w:cs="Arial"/>
          <w:b/>
          <w:bCs/>
          <w:sz w:val="20"/>
          <w:szCs w:val="20"/>
          <w:lang w:eastAsia="de-AT"/>
        </w:rPr>
        <w:t xml:space="preserve"> Verhandlungen </w:t>
      </w:r>
    </w:p>
    <w:p w:rsidR="00F87E2A" w:rsidRDefault="0022799E" w:rsidP="00AD606A">
      <w:pPr>
        <w:spacing w:line="280" w:lineRule="exact"/>
        <w:jc w:val="both"/>
        <w:rPr>
          <w:rFonts w:ascii="Arial" w:hAnsi="Arial" w:cs="Arial"/>
          <w:bCs/>
          <w:sz w:val="20"/>
          <w:szCs w:val="20"/>
          <w:lang w:eastAsia="de-AT"/>
        </w:rPr>
      </w:pPr>
      <w:r w:rsidRPr="00A31B8E">
        <w:rPr>
          <w:rFonts w:ascii="Arial" w:hAnsi="Arial" w:cs="Arial"/>
          <w:bCs/>
          <w:sz w:val="20"/>
          <w:szCs w:val="20"/>
          <w:lang w:eastAsia="de-AT"/>
        </w:rPr>
        <w:t xml:space="preserve">Abgesehen von </w:t>
      </w:r>
      <w:r w:rsidR="00DB2506" w:rsidRPr="00A31B8E">
        <w:rPr>
          <w:rFonts w:ascii="Arial" w:hAnsi="Arial" w:cs="Arial"/>
          <w:bCs/>
          <w:sz w:val="20"/>
          <w:szCs w:val="20"/>
          <w:lang w:eastAsia="de-AT"/>
        </w:rPr>
        <w:t>der massiven In</w:t>
      </w:r>
      <w:r w:rsidR="00272BA0" w:rsidRPr="00A31B8E">
        <w:rPr>
          <w:rFonts w:ascii="Arial" w:hAnsi="Arial" w:cs="Arial"/>
          <w:bCs/>
          <w:sz w:val="20"/>
          <w:szCs w:val="20"/>
          <w:lang w:eastAsia="de-AT"/>
        </w:rPr>
        <w:t>tra</w:t>
      </w:r>
      <w:r w:rsidR="00DB2506" w:rsidRPr="00A31B8E">
        <w:rPr>
          <w:rFonts w:ascii="Arial" w:hAnsi="Arial" w:cs="Arial"/>
          <w:bCs/>
          <w:sz w:val="20"/>
          <w:szCs w:val="20"/>
          <w:lang w:eastAsia="de-AT"/>
        </w:rPr>
        <w:t>n</w:t>
      </w:r>
      <w:r w:rsidR="00272BA0" w:rsidRPr="00A31B8E">
        <w:rPr>
          <w:rFonts w:ascii="Arial" w:hAnsi="Arial" w:cs="Arial"/>
          <w:bCs/>
          <w:sz w:val="20"/>
          <w:szCs w:val="20"/>
          <w:lang w:eastAsia="de-AT"/>
        </w:rPr>
        <w:t xml:space="preserve">sparenz der Verhandlungen </w:t>
      </w:r>
      <w:r w:rsidRPr="00A31B8E">
        <w:rPr>
          <w:rFonts w:ascii="Arial" w:hAnsi="Arial" w:cs="Arial"/>
          <w:bCs/>
          <w:sz w:val="20"/>
          <w:szCs w:val="20"/>
          <w:lang w:eastAsia="de-AT"/>
        </w:rPr>
        <w:t xml:space="preserve">sind </w:t>
      </w:r>
      <w:r w:rsidR="00DB2506" w:rsidRPr="00A31B8E">
        <w:rPr>
          <w:rFonts w:ascii="Arial" w:hAnsi="Arial" w:cs="Arial"/>
          <w:bCs/>
          <w:sz w:val="20"/>
          <w:szCs w:val="20"/>
          <w:lang w:eastAsia="de-AT"/>
        </w:rPr>
        <w:t>z</w:t>
      </w:r>
      <w:r w:rsidR="00272BA0" w:rsidRPr="00A31B8E">
        <w:rPr>
          <w:rFonts w:ascii="Arial" w:hAnsi="Arial" w:cs="Arial"/>
          <w:bCs/>
          <w:sz w:val="20"/>
          <w:szCs w:val="20"/>
          <w:lang w:eastAsia="de-AT"/>
        </w:rPr>
        <w:t>ahlreiche zentrale Forderungen der ArbeitnehmerInnen und KonsumentInnen in den derzeitigen Verhandlungen nicht berücksichtigt</w:t>
      </w:r>
      <w:r w:rsidRPr="00A31B8E">
        <w:rPr>
          <w:rFonts w:ascii="Arial" w:hAnsi="Arial" w:cs="Arial"/>
          <w:bCs/>
          <w:sz w:val="20"/>
          <w:szCs w:val="20"/>
          <w:lang w:eastAsia="de-AT"/>
        </w:rPr>
        <w:t xml:space="preserve"> worden</w:t>
      </w:r>
      <w:r w:rsidR="00272BA0" w:rsidRPr="00A31B8E">
        <w:rPr>
          <w:rFonts w:ascii="Arial" w:hAnsi="Arial" w:cs="Arial"/>
          <w:bCs/>
          <w:sz w:val="20"/>
          <w:szCs w:val="20"/>
          <w:lang w:eastAsia="de-AT"/>
        </w:rPr>
        <w:t xml:space="preserve">. </w:t>
      </w:r>
      <w:r w:rsidR="002F2569" w:rsidRPr="00A31B8E">
        <w:rPr>
          <w:rFonts w:ascii="Arial" w:hAnsi="Arial" w:cs="Arial"/>
          <w:bCs/>
          <w:sz w:val="20"/>
          <w:szCs w:val="20"/>
          <w:lang w:eastAsia="de-AT"/>
        </w:rPr>
        <w:t xml:space="preserve">Dies trifft ebenso auf die im Abschluss befindlichen Verhandlungen über das Freihandelsabkommen mit Kanada (CETA) zu, </w:t>
      </w:r>
      <w:proofErr w:type="gramStart"/>
      <w:r w:rsidR="002F2569" w:rsidRPr="00A31B8E">
        <w:rPr>
          <w:rFonts w:ascii="Arial" w:hAnsi="Arial" w:cs="Arial"/>
          <w:bCs/>
          <w:sz w:val="20"/>
          <w:szCs w:val="20"/>
          <w:lang w:eastAsia="de-AT"/>
        </w:rPr>
        <w:t>das</w:t>
      </w:r>
      <w:proofErr w:type="gramEnd"/>
      <w:r w:rsidR="002F2569" w:rsidRPr="00A31B8E">
        <w:rPr>
          <w:rFonts w:ascii="Arial" w:hAnsi="Arial" w:cs="Arial"/>
          <w:bCs/>
          <w:sz w:val="20"/>
          <w:szCs w:val="20"/>
          <w:lang w:eastAsia="de-AT"/>
        </w:rPr>
        <w:t xml:space="preserve"> demnächst </w:t>
      </w:r>
      <w:r w:rsidR="00537742" w:rsidRPr="00A725B3">
        <w:rPr>
          <w:rFonts w:ascii="Arial" w:hAnsi="Arial" w:cs="Arial"/>
          <w:bCs/>
          <w:strike/>
          <w:sz w:val="20"/>
          <w:szCs w:val="20"/>
          <w:lang w:eastAsia="de-AT"/>
        </w:rPr>
        <w:t>paraphiert</w:t>
      </w:r>
      <w:r w:rsidR="00A725B3">
        <w:rPr>
          <w:rFonts w:ascii="Arial" w:hAnsi="Arial" w:cs="Arial"/>
          <w:bCs/>
          <w:sz w:val="20"/>
          <w:szCs w:val="20"/>
          <w:lang w:eastAsia="de-AT"/>
        </w:rPr>
        <w:t xml:space="preserve"> </w:t>
      </w:r>
      <w:r w:rsidR="00A725B3">
        <w:rPr>
          <w:rFonts w:ascii="Arial" w:hAnsi="Arial" w:cs="Arial"/>
          <w:bCs/>
          <w:i/>
          <w:sz w:val="20"/>
          <w:szCs w:val="20"/>
          <w:u w:val="single"/>
          <w:lang w:eastAsia="de-AT"/>
        </w:rPr>
        <w:t>ratifiziert</w:t>
      </w:r>
      <w:r w:rsidR="00537742" w:rsidRPr="00A31B8E">
        <w:rPr>
          <w:rFonts w:ascii="Arial" w:hAnsi="Arial" w:cs="Arial"/>
          <w:bCs/>
          <w:sz w:val="20"/>
          <w:szCs w:val="20"/>
          <w:lang w:eastAsia="de-AT"/>
        </w:rPr>
        <w:t xml:space="preserve"> werden soll.</w:t>
      </w:r>
      <w:r w:rsidR="002F2569" w:rsidRPr="00A31B8E">
        <w:rPr>
          <w:rFonts w:ascii="Arial" w:hAnsi="Arial" w:cs="Arial"/>
          <w:bCs/>
          <w:sz w:val="20"/>
          <w:szCs w:val="20"/>
          <w:lang w:eastAsia="de-AT"/>
        </w:rPr>
        <w:t xml:space="preserve"> Die Bestimmungen dieses Abkommens werden dem TTIP als Blaupause dienen, weshalb dieses Abkommen in gleicher Weise abzulehnen ist.</w:t>
      </w:r>
      <w:r w:rsidR="008F6BD8" w:rsidRPr="00A31B8E">
        <w:rPr>
          <w:rFonts w:ascii="Arial" w:hAnsi="Arial" w:cs="Arial"/>
          <w:bCs/>
          <w:sz w:val="20"/>
          <w:szCs w:val="20"/>
          <w:lang w:eastAsia="de-AT"/>
        </w:rPr>
        <w:t xml:space="preserve"> </w:t>
      </w:r>
    </w:p>
    <w:p w:rsidR="002F2569" w:rsidRPr="00F87E2A" w:rsidRDefault="0022799E" w:rsidP="00AD606A">
      <w:pPr>
        <w:spacing w:line="280" w:lineRule="exact"/>
        <w:jc w:val="both"/>
        <w:rPr>
          <w:rFonts w:ascii="Arial" w:hAnsi="Arial" w:cs="Arial"/>
          <w:b/>
          <w:bCs/>
          <w:sz w:val="20"/>
          <w:szCs w:val="20"/>
          <w:lang w:eastAsia="de-AT"/>
        </w:rPr>
      </w:pPr>
      <w:r w:rsidRPr="00F87E2A">
        <w:rPr>
          <w:rFonts w:ascii="Arial" w:hAnsi="Arial" w:cs="Arial"/>
          <w:b/>
          <w:bCs/>
          <w:sz w:val="20"/>
          <w:szCs w:val="20"/>
          <w:lang w:eastAsia="de-AT"/>
        </w:rPr>
        <w:t>Eine Fortführung der</w:t>
      </w:r>
      <w:r w:rsidR="0007071C" w:rsidRPr="00F87E2A">
        <w:rPr>
          <w:rFonts w:ascii="Arial" w:hAnsi="Arial" w:cs="Arial"/>
          <w:b/>
          <w:bCs/>
          <w:sz w:val="20"/>
          <w:szCs w:val="20"/>
          <w:lang w:eastAsia="de-AT"/>
        </w:rPr>
        <w:t xml:space="preserve"> Verhandlungen mit den USA</w:t>
      </w:r>
      <w:r w:rsidR="002F2569" w:rsidRPr="00F87E2A">
        <w:rPr>
          <w:rFonts w:ascii="Arial" w:hAnsi="Arial" w:cs="Arial"/>
          <w:b/>
          <w:bCs/>
          <w:sz w:val="20"/>
          <w:szCs w:val="20"/>
          <w:lang w:eastAsia="de-AT"/>
        </w:rPr>
        <w:t>, Kanada und anderen Staaten</w:t>
      </w:r>
      <w:r w:rsidR="0007071C" w:rsidRPr="00F87E2A">
        <w:rPr>
          <w:rFonts w:ascii="Arial" w:hAnsi="Arial" w:cs="Arial"/>
          <w:b/>
          <w:bCs/>
          <w:sz w:val="20"/>
          <w:szCs w:val="20"/>
          <w:lang w:eastAsia="de-AT"/>
        </w:rPr>
        <w:t xml:space="preserve"> m</w:t>
      </w:r>
      <w:r w:rsidRPr="00F87E2A">
        <w:rPr>
          <w:rFonts w:ascii="Arial" w:hAnsi="Arial" w:cs="Arial"/>
          <w:b/>
          <w:bCs/>
          <w:sz w:val="20"/>
          <w:szCs w:val="20"/>
          <w:lang w:eastAsia="de-AT"/>
        </w:rPr>
        <w:t>u</w:t>
      </w:r>
      <w:r w:rsidR="0007071C" w:rsidRPr="00F87E2A">
        <w:rPr>
          <w:rFonts w:ascii="Arial" w:hAnsi="Arial" w:cs="Arial"/>
          <w:b/>
          <w:bCs/>
          <w:sz w:val="20"/>
          <w:szCs w:val="20"/>
          <w:lang w:eastAsia="de-AT"/>
        </w:rPr>
        <w:t xml:space="preserve">ss an die Bedingung eines grundlegenden Kurswechsels in der </w:t>
      </w:r>
      <w:r w:rsidRPr="00F87E2A">
        <w:rPr>
          <w:rFonts w:ascii="Arial" w:hAnsi="Arial" w:cs="Arial"/>
          <w:b/>
          <w:bCs/>
          <w:sz w:val="20"/>
          <w:szCs w:val="20"/>
          <w:lang w:eastAsia="de-AT"/>
        </w:rPr>
        <w:t>EU-</w:t>
      </w:r>
      <w:r w:rsidR="0007071C" w:rsidRPr="00F87E2A">
        <w:rPr>
          <w:rFonts w:ascii="Arial" w:hAnsi="Arial" w:cs="Arial"/>
          <w:b/>
          <w:bCs/>
          <w:sz w:val="20"/>
          <w:szCs w:val="20"/>
          <w:lang w:eastAsia="de-AT"/>
        </w:rPr>
        <w:t xml:space="preserve">Handelspolitik geknüpft sein, der eine soziale, ökologische und demokratische Ausrichtung sicherstellt und </w:t>
      </w:r>
      <w:r w:rsidR="00537742" w:rsidRPr="00F87E2A">
        <w:rPr>
          <w:rFonts w:ascii="Arial" w:hAnsi="Arial" w:cs="Arial"/>
          <w:b/>
          <w:bCs/>
          <w:sz w:val="20"/>
          <w:szCs w:val="20"/>
          <w:lang w:eastAsia="de-AT"/>
        </w:rPr>
        <w:t xml:space="preserve">die </w:t>
      </w:r>
      <w:r w:rsidR="0007071C" w:rsidRPr="00F87E2A">
        <w:rPr>
          <w:rFonts w:ascii="Arial" w:hAnsi="Arial" w:cs="Arial"/>
          <w:b/>
          <w:bCs/>
          <w:sz w:val="20"/>
          <w:szCs w:val="20"/>
          <w:lang w:eastAsia="de-AT"/>
        </w:rPr>
        <w:t xml:space="preserve">genannten Hauptforderungen </w:t>
      </w:r>
      <w:r w:rsidR="00537742" w:rsidRPr="00F87E2A">
        <w:rPr>
          <w:rFonts w:ascii="Arial" w:hAnsi="Arial" w:cs="Arial"/>
          <w:b/>
          <w:bCs/>
          <w:sz w:val="20"/>
          <w:szCs w:val="20"/>
          <w:lang w:eastAsia="de-AT"/>
        </w:rPr>
        <w:t>berücksichtigt.</w:t>
      </w:r>
      <w:r w:rsidR="0007071C" w:rsidRPr="00F87E2A">
        <w:rPr>
          <w:rFonts w:ascii="Arial" w:hAnsi="Arial" w:cs="Arial"/>
          <w:b/>
          <w:bCs/>
          <w:sz w:val="20"/>
          <w:szCs w:val="20"/>
          <w:lang w:eastAsia="de-AT"/>
        </w:rPr>
        <w:t xml:space="preserve"> </w:t>
      </w:r>
    </w:p>
    <w:p w:rsidR="002F2569" w:rsidRPr="00A31B8E" w:rsidRDefault="002F2569" w:rsidP="00AD606A">
      <w:pPr>
        <w:spacing w:line="280" w:lineRule="exact"/>
        <w:jc w:val="both"/>
        <w:rPr>
          <w:rFonts w:ascii="Arial" w:hAnsi="Arial" w:cs="Arial"/>
          <w:bCs/>
          <w:sz w:val="20"/>
          <w:szCs w:val="20"/>
          <w:lang w:eastAsia="de-AT"/>
        </w:rPr>
      </w:pPr>
    </w:p>
    <w:p w:rsidR="0078223F" w:rsidRDefault="000342EF" w:rsidP="00AD606A">
      <w:pPr>
        <w:spacing w:line="280" w:lineRule="exact"/>
        <w:jc w:val="both"/>
        <w:rPr>
          <w:rFonts w:ascii="Arial" w:hAnsi="Arial" w:cs="Arial"/>
          <w:b/>
          <w:bCs/>
          <w:sz w:val="20"/>
          <w:szCs w:val="20"/>
          <w:lang w:eastAsia="de-AT"/>
        </w:rPr>
      </w:pPr>
      <w:r w:rsidRPr="00A31B8E">
        <w:rPr>
          <w:rFonts w:ascii="Arial" w:hAnsi="Arial" w:cs="Arial"/>
          <w:b/>
          <w:bCs/>
          <w:sz w:val="20"/>
          <w:szCs w:val="20"/>
          <w:lang w:eastAsia="de-AT"/>
        </w:rPr>
        <w:t>Die</w:t>
      </w:r>
      <w:r w:rsidR="004A1D3E">
        <w:rPr>
          <w:rFonts w:ascii="Arial" w:hAnsi="Arial" w:cs="Arial"/>
          <w:b/>
          <w:bCs/>
          <w:sz w:val="20"/>
          <w:szCs w:val="20"/>
          <w:lang w:eastAsia="de-AT"/>
        </w:rPr>
        <w:t xml:space="preserve"> </w:t>
      </w:r>
      <w:r>
        <w:rPr>
          <w:rFonts w:ascii="Arial" w:hAnsi="Arial" w:cs="Arial"/>
          <w:b/>
          <w:bCs/>
          <w:sz w:val="20"/>
          <w:szCs w:val="20"/>
          <w:lang w:eastAsia="de-AT"/>
        </w:rPr>
        <w:t>Vollversammlung der AK</w:t>
      </w:r>
      <w:r w:rsidRPr="00A31B8E">
        <w:rPr>
          <w:rFonts w:ascii="Arial" w:hAnsi="Arial" w:cs="Arial"/>
          <w:b/>
          <w:bCs/>
          <w:sz w:val="20"/>
          <w:szCs w:val="20"/>
          <w:lang w:eastAsia="de-AT"/>
        </w:rPr>
        <w:t xml:space="preserve"> Wien fordert daher die österreichische Bundesregierung und ihre Mitglieder, insb</w:t>
      </w:r>
      <w:r>
        <w:rPr>
          <w:rFonts w:ascii="Arial" w:hAnsi="Arial" w:cs="Arial"/>
          <w:b/>
          <w:bCs/>
          <w:sz w:val="20"/>
          <w:szCs w:val="20"/>
          <w:lang w:eastAsia="de-AT"/>
        </w:rPr>
        <w:t>esondere</w:t>
      </w:r>
      <w:r w:rsidRPr="00A31B8E">
        <w:rPr>
          <w:rFonts w:ascii="Arial" w:hAnsi="Arial" w:cs="Arial"/>
          <w:b/>
          <w:bCs/>
          <w:sz w:val="20"/>
          <w:szCs w:val="20"/>
          <w:lang w:eastAsia="de-AT"/>
        </w:rPr>
        <w:t xml:space="preserve"> im Rahmen ihrer Tätigkeit im Rat der Europäischen Union, die Abgeordneten des österreichischen und des Europäischen Parlaments, die Europäische Kommission sowie den Europäischen Rat dazu auf, die derzeitigen Verhandlungen mit den USA, Kanada und anderen Handelspartnern abzulehnen oder alle erforderlichen Schritte zu setzen, um die genannten Forderungspunkte umzusetzen.</w:t>
      </w:r>
    </w:p>
    <w:p w:rsidR="000342EF" w:rsidRDefault="000342EF" w:rsidP="00AD606A">
      <w:pPr>
        <w:spacing w:line="280" w:lineRule="exact"/>
        <w:jc w:val="both"/>
        <w:rPr>
          <w:rFonts w:ascii="Arial" w:hAnsi="Arial" w:cs="Arial"/>
          <w:b/>
          <w:bCs/>
          <w:sz w:val="20"/>
          <w:szCs w:val="20"/>
          <w:lang w:eastAsia="de-AT"/>
        </w:rPr>
      </w:pPr>
    </w:p>
    <w:p w:rsidR="000342EF" w:rsidRDefault="000342EF"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p w:rsidR="00A725B3" w:rsidRDefault="00A725B3" w:rsidP="00AD606A">
      <w:pPr>
        <w:spacing w:line="280" w:lineRule="exact"/>
        <w:jc w:val="both"/>
        <w:rPr>
          <w:rFonts w:ascii="Arial" w:hAnsi="Arial" w:cs="Arial"/>
          <w:bCs/>
          <w:sz w:val="20"/>
          <w:szCs w:val="20"/>
          <w:lang w:eastAsia="de-AT"/>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964D0" w:rsidRPr="00FF0F51" w:rsidTr="002A7719">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964D0" w:rsidRPr="00FF0F51" w:rsidRDefault="009964D0" w:rsidP="002A7719">
            <w:pPr>
              <w:jc w:val="center"/>
              <w:rPr>
                <w:rFonts w:ascii="Arial" w:hAnsi="Arial" w:cs="Arial"/>
                <w:bCs/>
                <w:sz w:val="16"/>
                <w:szCs w:val="16"/>
              </w:rPr>
            </w:pPr>
            <w:r w:rsidRPr="00FF0F51">
              <w:rPr>
                <w:rFonts w:ascii="Arial" w:hAnsi="Arial" w:cs="Arial"/>
                <w:bCs/>
                <w:sz w:val="16"/>
                <w:szCs w:val="16"/>
              </w:rPr>
              <w:t xml:space="preserve">Angenommen </w:t>
            </w: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E84CA5">
              <w:rPr>
                <w:sz w:val="16"/>
                <w:szCs w:val="16"/>
              </w:rPr>
            </w:r>
            <w:r w:rsidR="00E84CA5">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964D0" w:rsidRPr="00FF0F51" w:rsidRDefault="009964D0" w:rsidP="002A7719">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E84CA5">
              <w:rPr>
                <w:sz w:val="16"/>
                <w:szCs w:val="16"/>
              </w:rPr>
            </w:r>
            <w:r w:rsidR="00E84CA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964D0" w:rsidRPr="00FF0F51" w:rsidRDefault="009964D0" w:rsidP="002A7719">
            <w:pPr>
              <w:jc w:val="center"/>
              <w:rPr>
                <w:rFonts w:ascii="Arial" w:hAnsi="Arial" w:cs="Arial"/>
                <w:sz w:val="16"/>
                <w:szCs w:val="16"/>
              </w:rPr>
            </w:pPr>
            <w:r w:rsidRPr="00FF0F51">
              <w:rPr>
                <w:rFonts w:ascii="Arial" w:hAnsi="Arial" w:cs="Arial"/>
                <w:sz w:val="16"/>
                <w:szCs w:val="16"/>
              </w:rPr>
              <w:t xml:space="preserve">Ablehnung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E84CA5">
              <w:rPr>
                <w:sz w:val="16"/>
                <w:szCs w:val="16"/>
              </w:rPr>
            </w:r>
            <w:r w:rsidR="00E84CA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964D0" w:rsidRPr="00FF0F51" w:rsidRDefault="009964D0" w:rsidP="002A7719">
            <w:pPr>
              <w:jc w:val="center"/>
              <w:rPr>
                <w:rFonts w:ascii="Arial" w:hAnsi="Arial" w:cs="Arial"/>
                <w:bCs/>
                <w:sz w:val="16"/>
                <w:szCs w:val="16"/>
              </w:rPr>
            </w:pPr>
            <w:r w:rsidRPr="00FF0F51">
              <w:rPr>
                <w:rFonts w:ascii="Arial" w:hAnsi="Arial" w:cs="Arial"/>
                <w:bCs/>
                <w:sz w:val="16"/>
                <w:szCs w:val="16"/>
              </w:rPr>
              <w:t xml:space="preserve">Einstimmig </w:t>
            </w:r>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E84CA5">
              <w:rPr>
                <w:sz w:val="16"/>
                <w:szCs w:val="16"/>
              </w:rPr>
            </w:r>
            <w:r w:rsidR="00E84CA5">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964D0" w:rsidRPr="00FF0F51" w:rsidRDefault="009964D0" w:rsidP="002A7719">
            <w:pPr>
              <w:jc w:val="center"/>
              <w:rPr>
                <w:rFonts w:ascii="Arial" w:hAnsi="Arial" w:cs="Arial"/>
                <w:sz w:val="16"/>
                <w:szCs w:val="16"/>
              </w:rPr>
            </w:pPr>
            <w:r w:rsidRPr="00FF0F51">
              <w:rPr>
                <w:rFonts w:ascii="Arial" w:hAnsi="Arial" w:cs="Arial"/>
                <w:sz w:val="16"/>
                <w:szCs w:val="16"/>
              </w:rPr>
              <w:t xml:space="preserve">Mehrstimmig </w:t>
            </w:r>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E84CA5">
              <w:rPr>
                <w:sz w:val="16"/>
                <w:szCs w:val="16"/>
              </w:rPr>
            </w:r>
            <w:r w:rsidR="00E84CA5">
              <w:rPr>
                <w:sz w:val="16"/>
                <w:szCs w:val="16"/>
              </w:rPr>
              <w:fldChar w:fldCharType="separate"/>
            </w:r>
            <w:r>
              <w:rPr>
                <w:sz w:val="16"/>
                <w:szCs w:val="16"/>
              </w:rPr>
              <w:fldChar w:fldCharType="end"/>
            </w:r>
          </w:p>
        </w:tc>
      </w:tr>
      <w:bookmarkEnd w:id="0"/>
    </w:tbl>
    <w:p w:rsidR="000342EF" w:rsidRPr="00DB7608" w:rsidRDefault="000342EF" w:rsidP="00DB7608">
      <w:pPr>
        <w:jc w:val="both"/>
        <w:rPr>
          <w:rFonts w:ascii="Arial" w:hAnsi="Arial" w:cs="Arial"/>
          <w:bCs/>
          <w:sz w:val="6"/>
          <w:szCs w:val="6"/>
          <w:lang w:eastAsia="de-AT"/>
        </w:rPr>
      </w:pPr>
    </w:p>
    <w:sectPr w:rsidR="000342EF" w:rsidRPr="00DB7608" w:rsidSect="008705B8">
      <w:headerReference w:type="default" r:id="rId9"/>
      <w:footerReference w:type="default" r:id="rId10"/>
      <w:headerReference w:type="first" r:id="rId11"/>
      <w:footerReference w:type="first" r:id="rId12"/>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E0" w:rsidRDefault="004577E0">
      <w:r>
        <w:separator/>
      </w:r>
    </w:p>
  </w:endnote>
  <w:endnote w:type="continuationSeparator" w:id="0">
    <w:p w:rsidR="004577E0" w:rsidRDefault="0045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08" w:rsidRPr="00150CF6" w:rsidRDefault="00DB7608" w:rsidP="00DB7608">
    <w:pPr>
      <w:pStyle w:val="Fuzeile"/>
      <w:jc w:val="center"/>
      <w:rPr>
        <w:lang w:val="en-US"/>
      </w:rPr>
    </w:pPr>
    <w:r>
      <w:rPr>
        <w:rFonts w:ascii="Arial" w:hAnsi="Arial" w:cs="Arial"/>
        <w:sz w:val="16"/>
        <w:szCs w:val="16"/>
      </w:rPr>
      <w:fldChar w:fldCharType="begin"/>
    </w:r>
    <w:r w:rsidRPr="00150CF6">
      <w:rPr>
        <w:rFonts w:ascii="Arial" w:hAnsi="Arial" w:cs="Arial"/>
        <w:sz w:val="16"/>
        <w:szCs w:val="16"/>
        <w:lang w:val="en-US"/>
      </w:rPr>
      <w:instrText xml:space="preserve"> FILENAME  \p  \* MERGEFORMAT </w:instrText>
    </w:r>
    <w:r>
      <w:rPr>
        <w:rFonts w:ascii="Arial" w:hAnsi="Arial" w:cs="Arial"/>
        <w:sz w:val="16"/>
        <w:szCs w:val="16"/>
      </w:rPr>
      <w:fldChar w:fldCharType="separate"/>
    </w:r>
    <w:r w:rsidR="00113B79" w:rsidRPr="00150CF6">
      <w:rPr>
        <w:rFonts w:ascii="Arial" w:hAnsi="Arial" w:cs="Arial"/>
        <w:noProof/>
        <w:sz w:val="16"/>
        <w:szCs w:val="16"/>
        <w:lang w:val="en-US"/>
      </w:rPr>
      <w:t>C:\Users\Vwedl\AppData\Local\Microsoft\Windows\Temporary Internet Files\Content.Outlook\CPC3380M\FSG14 - W - EU - TTIP.docx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sidR="00A535A5">
      <w:rPr>
        <w:rFonts w:ascii="Arial" w:hAnsi="Arial" w:cs="Arial"/>
        <w:noProof/>
        <w:snapToGrid w:val="0"/>
        <w:sz w:val="16"/>
        <w:szCs w:val="16"/>
      </w:rPr>
      <w:t>4</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113B79">
      <w:rPr>
        <w:rFonts w:ascii="Arial" w:hAnsi="Arial" w:cs="Arial"/>
        <w:noProof/>
        <w:snapToGrid w:val="0"/>
        <w:sz w:val="16"/>
        <w:szCs w:val="16"/>
      </w:rPr>
      <w:t>4</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E0" w:rsidRDefault="004577E0">
      <w:r>
        <w:separator/>
      </w:r>
    </w:p>
  </w:footnote>
  <w:footnote w:type="continuationSeparator" w:id="0">
    <w:p w:rsidR="004577E0" w:rsidRDefault="0045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14:anchorId="372766AF" wp14:editId="7D9B23E2">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43BC8CE9" wp14:editId="3376B19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3125"/>
    <w:multiLevelType w:val="hybridMultilevel"/>
    <w:tmpl w:val="30128166"/>
    <w:lvl w:ilvl="0" w:tplc="FB2C68A0">
      <w:numFmt w:val="bullet"/>
      <w:lvlText w:val="-"/>
      <w:lvlJc w:val="left"/>
      <w:pPr>
        <w:ind w:left="720" w:hanging="360"/>
      </w:pPr>
      <w:rPr>
        <w:rFonts w:ascii="Arial" w:eastAsia="Times New Roman"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34"/>
    <w:rsid w:val="00011F4D"/>
    <w:rsid w:val="000159F7"/>
    <w:rsid w:val="00016186"/>
    <w:rsid w:val="000203D6"/>
    <w:rsid w:val="00032D84"/>
    <w:rsid w:val="000342EF"/>
    <w:rsid w:val="00056350"/>
    <w:rsid w:val="00057EF1"/>
    <w:rsid w:val="0006383D"/>
    <w:rsid w:val="0007071C"/>
    <w:rsid w:val="00090AD6"/>
    <w:rsid w:val="000D76E2"/>
    <w:rsid w:val="0010201E"/>
    <w:rsid w:val="001062EA"/>
    <w:rsid w:val="00110CB8"/>
    <w:rsid w:val="00113B79"/>
    <w:rsid w:val="001242D4"/>
    <w:rsid w:val="001374A7"/>
    <w:rsid w:val="00150CF6"/>
    <w:rsid w:val="0015521F"/>
    <w:rsid w:val="00161927"/>
    <w:rsid w:val="001723DC"/>
    <w:rsid w:val="0018667C"/>
    <w:rsid w:val="001B2D7A"/>
    <w:rsid w:val="001D59A4"/>
    <w:rsid w:val="001E2997"/>
    <w:rsid w:val="0022799E"/>
    <w:rsid w:val="002417A6"/>
    <w:rsid w:val="002512A9"/>
    <w:rsid w:val="002605E5"/>
    <w:rsid w:val="00262B0E"/>
    <w:rsid w:val="00272BA0"/>
    <w:rsid w:val="002953AE"/>
    <w:rsid w:val="002B763C"/>
    <w:rsid w:val="002D6BFC"/>
    <w:rsid w:val="002E0042"/>
    <w:rsid w:val="002F2569"/>
    <w:rsid w:val="003529FA"/>
    <w:rsid w:val="003735C3"/>
    <w:rsid w:val="00391124"/>
    <w:rsid w:val="003914AE"/>
    <w:rsid w:val="00394ADC"/>
    <w:rsid w:val="00395D90"/>
    <w:rsid w:val="00396946"/>
    <w:rsid w:val="003C16FA"/>
    <w:rsid w:val="003C63DF"/>
    <w:rsid w:val="003E14D6"/>
    <w:rsid w:val="003F2336"/>
    <w:rsid w:val="0040251A"/>
    <w:rsid w:val="00412C7D"/>
    <w:rsid w:val="00434C82"/>
    <w:rsid w:val="00452CFD"/>
    <w:rsid w:val="004577E0"/>
    <w:rsid w:val="0047100A"/>
    <w:rsid w:val="00484F4A"/>
    <w:rsid w:val="004A1D3E"/>
    <w:rsid w:val="004C587E"/>
    <w:rsid w:val="004F5C68"/>
    <w:rsid w:val="005045DC"/>
    <w:rsid w:val="00537742"/>
    <w:rsid w:val="00550E65"/>
    <w:rsid w:val="005C11D7"/>
    <w:rsid w:val="00616045"/>
    <w:rsid w:val="00621D1C"/>
    <w:rsid w:val="006746E0"/>
    <w:rsid w:val="00681C7D"/>
    <w:rsid w:val="006B1994"/>
    <w:rsid w:val="006C6514"/>
    <w:rsid w:val="006D6EAF"/>
    <w:rsid w:val="007070D6"/>
    <w:rsid w:val="0071667C"/>
    <w:rsid w:val="00733F63"/>
    <w:rsid w:val="007666F3"/>
    <w:rsid w:val="00772A67"/>
    <w:rsid w:val="00776704"/>
    <w:rsid w:val="0078223F"/>
    <w:rsid w:val="007B2371"/>
    <w:rsid w:val="00810320"/>
    <w:rsid w:val="00812477"/>
    <w:rsid w:val="00816945"/>
    <w:rsid w:val="0083180C"/>
    <w:rsid w:val="008705B8"/>
    <w:rsid w:val="00884902"/>
    <w:rsid w:val="008938E3"/>
    <w:rsid w:val="008B4E35"/>
    <w:rsid w:val="008E0931"/>
    <w:rsid w:val="008F6BD8"/>
    <w:rsid w:val="00941D21"/>
    <w:rsid w:val="009964D0"/>
    <w:rsid w:val="009A5EEE"/>
    <w:rsid w:val="009C5C9B"/>
    <w:rsid w:val="009D2327"/>
    <w:rsid w:val="00A31B8E"/>
    <w:rsid w:val="00A535A5"/>
    <w:rsid w:val="00A725B3"/>
    <w:rsid w:val="00AD606A"/>
    <w:rsid w:val="00B211DB"/>
    <w:rsid w:val="00B21DD7"/>
    <w:rsid w:val="00B30411"/>
    <w:rsid w:val="00B5490C"/>
    <w:rsid w:val="00B62459"/>
    <w:rsid w:val="00B63B34"/>
    <w:rsid w:val="00B76D19"/>
    <w:rsid w:val="00B80D6F"/>
    <w:rsid w:val="00BA3D87"/>
    <w:rsid w:val="00BB372F"/>
    <w:rsid w:val="00BD53CF"/>
    <w:rsid w:val="00C63BEE"/>
    <w:rsid w:val="00C67832"/>
    <w:rsid w:val="00CA0F62"/>
    <w:rsid w:val="00CC7802"/>
    <w:rsid w:val="00CD20DB"/>
    <w:rsid w:val="00D20E3E"/>
    <w:rsid w:val="00D33839"/>
    <w:rsid w:val="00D33E3C"/>
    <w:rsid w:val="00D3405D"/>
    <w:rsid w:val="00D63D92"/>
    <w:rsid w:val="00DB2506"/>
    <w:rsid w:val="00DB7608"/>
    <w:rsid w:val="00E41335"/>
    <w:rsid w:val="00E5636C"/>
    <w:rsid w:val="00E84CA5"/>
    <w:rsid w:val="00F305D2"/>
    <w:rsid w:val="00F758A1"/>
    <w:rsid w:val="00F87E2A"/>
    <w:rsid w:val="00F87E3A"/>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character" w:customStyle="1" w:styleId="lauftext">
    <w:name w:val="lauftext"/>
    <w:rsid w:val="006746E0"/>
  </w:style>
  <w:style w:type="paragraph" w:styleId="Funotentext">
    <w:name w:val="footnote text"/>
    <w:basedOn w:val="Standard"/>
    <w:link w:val="FunotentextZchn"/>
    <w:rsid w:val="005C11D7"/>
    <w:rPr>
      <w:sz w:val="20"/>
      <w:szCs w:val="20"/>
    </w:rPr>
  </w:style>
  <w:style w:type="character" w:customStyle="1" w:styleId="FunotentextZchn">
    <w:name w:val="Fußnotentext Zchn"/>
    <w:basedOn w:val="Absatz-Standardschriftart"/>
    <w:link w:val="Funotentext"/>
    <w:rsid w:val="005C11D7"/>
    <w:rPr>
      <w:lang w:val="de-DE" w:eastAsia="de-DE"/>
    </w:rPr>
  </w:style>
  <w:style w:type="character" w:styleId="Funotenzeichen">
    <w:name w:val="footnote reference"/>
    <w:basedOn w:val="Absatz-Standardschriftart"/>
    <w:rsid w:val="005C11D7"/>
    <w:rPr>
      <w:vertAlign w:val="superscript"/>
    </w:rPr>
  </w:style>
  <w:style w:type="paragraph" w:styleId="Sprechblasentext">
    <w:name w:val="Balloon Text"/>
    <w:basedOn w:val="Standard"/>
    <w:link w:val="SprechblasentextZchn"/>
    <w:rsid w:val="002D6BFC"/>
    <w:rPr>
      <w:rFonts w:ascii="Tahoma" w:hAnsi="Tahoma" w:cs="Tahoma"/>
      <w:sz w:val="16"/>
      <w:szCs w:val="16"/>
    </w:rPr>
  </w:style>
  <w:style w:type="character" w:customStyle="1" w:styleId="SprechblasentextZchn">
    <w:name w:val="Sprechblasentext Zchn"/>
    <w:basedOn w:val="Absatz-Standardschriftart"/>
    <w:link w:val="Sprechblasentext"/>
    <w:rsid w:val="002D6BFC"/>
    <w:rPr>
      <w:rFonts w:ascii="Tahoma" w:hAnsi="Tahoma" w:cs="Tahoma"/>
      <w:sz w:val="16"/>
      <w:szCs w:val="16"/>
      <w:lang w:val="de-DE" w:eastAsia="de-DE"/>
    </w:rPr>
  </w:style>
  <w:style w:type="character" w:styleId="Kommentarzeichen">
    <w:name w:val="annotation reference"/>
    <w:basedOn w:val="Absatz-Standardschriftart"/>
    <w:rsid w:val="0010201E"/>
    <w:rPr>
      <w:sz w:val="16"/>
      <w:szCs w:val="16"/>
    </w:rPr>
  </w:style>
  <w:style w:type="paragraph" w:styleId="Kommentartext">
    <w:name w:val="annotation text"/>
    <w:basedOn w:val="Standard"/>
    <w:link w:val="KommentartextZchn"/>
    <w:rsid w:val="0010201E"/>
    <w:rPr>
      <w:sz w:val="20"/>
      <w:szCs w:val="20"/>
    </w:rPr>
  </w:style>
  <w:style w:type="character" w:customStyle="1" w:styleId="KommentartextZchn">
    <w:name w:val="Kommentartext Zchn"/>
    <w:basedOn w:val="Absatz-Standardschriftart"/>
    <w:link w:val="Kommentartext"/>
    <w:rsid w:val="0010201E"/>
    <w:rPr>
      <w:lang w:val="de-DE" w:eastAsia="de-DE"/>
    </w:rPr>
  </w:style>
  <w:style w:type="paragraph" w:styleId="Kommentarthema">
    <w:name w:val="annotation subject"/>
    <w:basedOn w:val="Kommentartext"/>
    <w:next w:val="Kommentartext"/>
    <w:link w:val="KommentarthemaZchn"/>
    <w:rsid w:val="0010201E"/>
    <w:rPr>
      <w:b/>
      <w:bCs/>
    </w:rPr>
  </w:style>
  <w:style w:type="character" w:customStyle="1" w:styleId="KommentarthemaZchn">
    <w:name w:val="Kommentarthema Zchn"/>
    <w:basedOn w:val="KommentartextZchn"/>
    <w:link w:val="Kommentarthema"/>
    <w:rsid w:val="0010201E"/>
    <w:rPr>
      <w:b/>
      <w:bCs/>
      <w:lang w:val="de-DE" w:eastAsia="de-DE"/>
    </w:rPr>
  </w:style>
  <w:style w:type="character" w:customStyle="1" w:styleId="FuzeileZchn">
    <w:name w:val="Fußzeile Zchn"/>
    <w:basedOn w:val="Absatz-Standardschriftart"/>
    <w:link w:val="Fuzeile"/>
    <w:rsid w:val="00DB7608"/>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character" w:customStyle="1" w:styleId="lauftext">
    <w:name w:val="lauftext"/>
    <w:rsid w:val="006746E0"/>
  </w:style>
  <w:style w:type="paragraph" w:styleId="Funotentext">
    <w:name w:val="footnote text"/>
    <w:basedOn w:val="Standard"/>
    <w:link w:val="FunotentextZchn"/>
    <w:rsid w:val="005C11D7"/>
    <w:rPr>
      <w:sz w:val="20"/>
      <w:szCs w:val="20"/>
    </w:rPr>
  </w:style>
  <w:style w:type="character" w:customStyle="1" w:styleId="FunotentextZchn">
    <w:name w:val="Fußnotentext Zchn"/>
    <w:basedOn w:val="Absatz-Standardschriftart"/>
    <w:link w:val="Funotentext"/>
    <w:rsid w:val="005C11D7"/>
    <w:rPr>
      <w:lang w:val="de-DE" w:eastAsia="de-DE"/>
    </w:rPr>
  </w:style>
  <w:style w:type="character" w:styleId="Funotenzeichen">
    <w:name w:val="footnote reference"/>
    <w:basedOn w:val="Absatz-Standardschriftart"/>
    <w:rsid w:val="005C11D7"/>
    <w:rPr>
      <w:vertAlign w:val="superscript"/>
    </w:rPr>
  </w:style>
  <w:style w:type="paragraph" w:styleId="Sprechblasentext">
    <w:name w:val="Balloon Text"/>
    <w:basedOn w:val="Standard"/>
    <w:link w:val="SprechblasentextZchn"/>
    <w:rsid w:val="002D6BFC"/>
    <w:rPr>
      <w:rFonts w:ascii="Tahoma" w:hAnsi="Tahoma" w:cs="Tahoma"/>
      <w:sz w:val="16"/>
      <w:szCs w:val="16"/>
    </w:rPr>
  </w:style>
  <w:style w:type="character" w:customStyle="1" w:styleId="SprechblasentextZchn">
    <w:name w:val="Sprechblasentext Zchn"/>
    <w:basedOn w:val="Absatz-Standardschriftart"/>
    <w:link w:val="Sprechblasentext"/>
    <w:rsid w:val="002D6BFC"/>
    <w:rPr>
      <w:rFonts w:ascii="Tahoma" w:hAnsi="Tahoma" w:cs="Tahoma"/>
      <w:sz w:val="16"/>
      <w:szCs w:val="16"/>
      <w:lang w:val="de-DE" w:eastAsia="de-DE"/>
    </w:rPr>
  </w:style>
  <w:style w:type="character" w:styleId="Kommentarzeichen">
    <w:name w:val="annotation reference"/>
    <w:basedOn w:val="Absatz-Standardschriftart"/>
    <w:rsid w:val="0010201E"/>
    <w:rPr>
      <w:sz w:val="16"/>
      <w:szCs w:val="16"/>
    </w:rPr>
  </w:style>
  <w:style w:type="paragraph" w:styleId="Kommentartext">
    <w:name w:val="annotation text"/>
    <w:basedOn w:val="Standard"/>
    <w:link w:val="KommentartextZchn"/>
    <w:rsid w:val="0010201E"/>
    <w:rPr>
      <w:sz w:val="20"/>
      <w:szCs w:val="20"/>
    </w:rPr>
  </w:style>
  <w:style w:type="character" w:customStyle="1" w:styleId="KommentartextZchn">
    <w:name w:val="Kommentartext Zchn"/>
    <w:basedOn w:val="Absatz-Standardschriftart"/>
    <w:link w:val="Kommentartext"/>
    <w:rsid w:val="0010201E"/>
    <w:rPr>
      <w:lang w:val="de-DE" w:eastAsia="de-DE"/>
    </w:rPr>
  </w:style>
  <w:style w:type="paragraph" w:styleId="Kommentarthema">
    <w:name w:val="annotation subject"/>
    <w:basedOn w:val="Kommentartext"/>
    <w:next w:val="Kommentartext"/>
    <w:link w:val="KommentarthemaZchn"/>
    <w:rsid w:val="0010201E"/>
    <w:rPr>
      <w:b/>
      <w:bCs/>
    </w:rPr>
  </w:style>
  <w:style w:type="character" w:customStyle="1" w:styleId="KommentarthemaZchn">
    <w:name w:val="Kommentarthema Zchn"/>
    <w:basedOn w:val="KommentartextZchn"/>
    <w:link w:val="Kommentarthema"/>
    <w:rsid w:val="0010201E"/>
    <w:rPr>
      <w:b/>
      <w:bCs/>
      <w:lang w:val="de-DE" w:eastAsia="de-DE"/>
    </w:rPr>
  </w:style>
  <w:style w:type="character" w:customStyle="1" w:styleId="FuzeileZchn">
    <w:name w:val="Fußzeile Zchn"/>
    <w:basedOn w:val="Absatz-Standardschriftart"/>
    <w:link w:val="Fuzeile"/>
    <w:rsid w:val="00DB7608"/>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42828">
      <w:bodyDiv w:val="1"/>
      <w:marLeft w:val="0"/>
      <w:marRight w:val="0"/>
      <w:marTop w:val="0"/>
      <w:marBottom w:val="0"/>
      <w:divBdr>
        <w:top w:val="none" w:sz="0" w:space="0" w:color="auto"/>
        <w:left w:val="none" w:sz="0" w:space="0" w:color="auto"/>
        <w:bottom w:val="none" w:sz="0" w:space="0" w:color="auto"/>
        <w:right w:val="none" w:sz="0" w:space="0" w:color="auto"/>
      </w:divBdr>
    </w:div>
    <w:div w:id="20374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5FD2-A165-4B40-9383-E285178B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BA1452EB.dotm</Template>
  <TotalTime>0</TotalTime>
  <Pages>4</Pages>
  <Words>1213</Words>
  <Characters>9263</Characters>
  <Application>Microsoft Office Word</Application>
  <DocSecurity>4</DocSecurity>
  <Lines>77</Lines>
  <Paragraphs>20</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DESSEWFFY Eva</dc:creator>
  <cp:lastModifiedBy>AFFENZELLER-GREIF Dina</cp:lastModifiedBy>
  <cp:revision>2</cp:revision>
  <cp:lastPrinted>2014-10-15T13:59:00Z</cp:lastPrinted>
  <dcterms:created xsi:type="dcterms:W3CDTF">2014-10-17T06:42:00Z</dcterms:created>
  <dcterms:modified xsi:type="dcterms:W3CDTF">2014-10-17T06:42:00Z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