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exact" w:line="280"/>
        <w:jc w:val="center"/>
        <w:rPr>
          <w:rFonts w:ascii="Times New Roman" w:hAnsi="Times New Roman"/>
          <w:sz w:val="20"/>
          <w:szCs w:val="20"/>
        </w:rPr>
      </w:pPr>
      <w:r>
        <w:rPr>
          <w:rFonts w:ascii="Times New Roman" w:hAnsi="Times New Roman"/>
          <w:sz w:val="20"/>
          <w:szCs w:val="20"/>
        </w:rPr>
        <w:t>Antrag an die Vollversammlung der Arbeiterkammer Wien</w:t>
      </w:r>
    </w:p>
    <w:p>
      <w:pPr>
        <w:pStyle w:val="Normal"/>
        <w:spacing w:lineRule="exact" w:line="280"/>
        <w:jc w:val="center"/>
        <w:rPr>
          <w:rFonts w:ascii="Times New Roman" w:hAnsi="Times New Roman"/>
          <w:sz w:val="20"/>
          <w:szCs w:val="20"/>
        </w:rPr>
      </w:pPr>
      <w:r>
        <w:rPr>
          <w:rFonts w:ascii="Times New Roman" w:hAnsi="Times New Roman"/>
          <w:sz w:val="20"/>
          <w:szCs w:val="20"/>
        </w:rPr>
      </w:r>
    </w:p>
    <w:p>
      <w:pPr>
        <w:pStyle w:val="Normal"/>
        <w:spacing w:lineRule="exact" w:line="280"/>
        <w:jc w:val="center"/>
        <w:rPr>
          <w:rFonts w:ascii="Times New Roman" w:hAnsi="Times New Roman"/>
          <w:sz w:val="24"/>
        </w:rPr>
      </w:pPr>
      <w:r>
        <w:rPr>
          <w:rFonts w:ascii="Times New Roman" w:hAnsi="Times New Roman"/>
          <w:sz w:val="24"/>
        </w:rPr>
      </w:r>
    </w:p>
    <w:p>
      <w:pPr>
        <w:pStyle w:val="Berschrift2"/>
        <w:rPr/>
      </w:pPr>
      <w:r>
        <w:rPr/>
        <w:t>Psychoanalysen als Sachleistung der Wiener Gebietskrankenkasse wie bis Juni 2012!</w:t>
      </w:r>
    </w:p>
    <w:p>
      <w:pPr>
        <w:pStyle w:val="Normal"/>
        <w:tabs>
          <w:tab w:val="left" w:pos="5280" w:leader="none"/>
        </w:tabs>
        <w:spacing w:lineRule="exact" w:line="280"/>
        <w:rPr>
          <w:rFonts w:ascii="Times New Roman" w:hAnsi="Times New Roman"/>
        </w:rPr>
      </w:pPr>
      <w:r>
        <w:rPr>
          <w:rFonts w:ascii="Times New Roman" w:hAnsi="Times New Roman"/>
        </w:rPr>
      </w:r>
    </w:p>
    <w:p>
      <w:pPr>
        <w:pStyle w:val="Normal"/>
        <w:tabs>
          <w:tab w:val="left" w:pos="5280" w:leader="none"/>
        </w:tabs>
        <w:spacing w:lineRule="exact" w:line="280"/>
        <w:rPr>
          <w:rFonts w:ascii="Times New Roman" w:hAnsi="Times New Roman"/>
        </w:rPr>
      </w:pPr>
      <w:r>
        <w:rPr>
          <w:rFonts w:ascii="Times New Roman" w:hAnsi="Times New Roman"/>
        </w:rPr>
      </w:r>
    </w:p>
    <w:tbl>
      <w:tblPr>
        <w:jc w:val="left"/>
        <w:tblInd w:w="0" w:type="dxa"/>
        <w:tblBorders>
          <w:top w:val="nil"/>
          <w:left w:val="single" w:sz="4" w:space="0" w:color="00000A"/>
          <w:bottom w:val="nil"/>
          <w:insideH w:val="nil"/>
          <w:right w:val="nil"/>
          <w:insideV w:val="nil"/>
        </w:tblBorders>
        <w:tblCellMar>
          <w:top w:w="0" w:type="dxa"/>
          <w:left w:w="108" w:type="dxa"/>
          <w:bottom w:w="0" w:type="dxa"/>
          <w:right w:w="108" w:type="dxa"/>
        </w:tblCellMar>
      </w:tblPr>
      <w:tblGrid>
        <w:gridCol w:w="9206"/>
      </w:tblGrid>
      <w:tr>
        <w:trPr>
          <w:cantSplit w:val="false"/>
        </w:trPr>
        <w:tc>
          <w:tcPr>
            <w:tcW w:w="9206" w:type="dxa"/>
            <w:tcBorders>
              <w:top w:val="nil"/>
              <w:left w:val="single" w:sz="4" w:space="0" w:color="00000A"/>
              <w:bottom w:val="nil"/>
              <w:insideH w:val="nil"/>
              <w:right w:val="nil"/>
              <w:insideV w:val="nil"/>
            </w:tcBorders>
            <w:shd w:fill="auto" w:val="clear"/>
            <w:tcMar>
              <w:left w:w="108" w:type="dxa"/>
            </w:tcMar>
          </w:tcPr>
          <w:p>
            <w:pPr>
              <w:pStyle w:val="Normal"/>
              <w:spacing w:lineRule="exact" w:line="300"/>
              <w:rPr>
                <w:rFonts w:ascii="Times New Roman" w:hAnsi="Times New Roman"/>
                <w:b/>
              </w:rPr>
            </w:pPr>
            <w:r>
              <w:rPr>
                <w:rFonts w:ascii="Times New Roman" w:hAnsi="Times New Roman"/>
                <w:b/>
              </w:rPr>
              <w:t xml:space="preserve">Bis Juli 2012 war eine Psychoanalyse mit  3-5 Wochenstunden auch für Versicherte der Wiener Gebietskrankenkasse mit geringem Einkommen möglich. </w:t>
            </w:r>
          </w:p>
          <w:p>
            <w:pPr>
              <w:pStyle w:val="Normal"/>
              <w:spacing w:lineRule="exact" w:line="300"/>
              <w:rPr>
                <w:rFonts w:ascii="Times New Roman" w:hAnsi="Times New Roman"/>
                <w:b/>
              </w:rPr>
            </w:pPr>
            <w:r>
              <w:rPr>
                <w:rFonts w:ascii="Times New Roman" w:hAnsi="Times New Roman"/>
                <w:b/>
              </w:rPr>
              <w:t xml:space="preserve">Mit Juli 2012 wurde die Psychoanalyse u.a. aus dem WGKK-Sachleistungskatalog gestrichen. </w:t>
            </w:r>
          </w:p>
        </w:tc>
      </w:tr>
    </w:tbl>
    <w:p>
      <w:pPr>
        <w:pStyle w:val="Normal"/>
        <w:spacing w:lineRule="exact" w:line="280"/>
        <w:rPr>
          <w:rFonts w:ascii="Times New Roman" w:hAnsi="Times New Roman"/>
          <w:b/>
          <w:sz w:val="20"/>
        </w:rPr>
      </w:pPr>
      <w:r>
        <w:rPr>
          <w:rFonts w:ascii="Times New Roman" w:hAnsi="Times New Roman"/>
          <w:b/>
          <w:sz w:val="20"/>
        </w:rPr>
      </w:r>
    </w:p>
    <w:p>
      <w:pPr>
        <w:pStyle w:val="Normal"/>
        <w:ind w:left="0" w:right="0" w:firstLine="360"/>
        <w:rPr>
          <w:rFonts w:ascii="Times New Roman" w:hAnsi="Times New Roman"/>
          <w:b/>
          <w:sz w:val="20"/>
          <w:u w:val="single"/>
        </w:rPr>
      </w:pPr>
      <w:r>
        <w:rPr>
          <w:rFonts w:ascii="Times New Roman" w:hAnsi="Times New Roman"/>
          <w:b/>
          <w:sz w:val="20"/>
          <w:u w:val="single"/>
        </w:rPr>
        <w:t xml:space="preserve">Zur Praxis der WGKK seit Juli 2012: </w:t>
      </w:r>
    </w:p>
    <w:p>
      <w:pPr>
        <w:pStyle w:val="ListParagraph"/>
        <w:widowControl w:val="false"/>
        <w:ind w:left="1080" w:right="0" w:hanging="0"/>
        <w:rPr>
          <w:rFonts w:ascii="Times New Roman" w:hAnsi="Times New Roman"/>
          <w:b/>
          <w:sz w:val="20"/>
          <w:u w:val="single"/>
        </w:rPr>
      </w:pPr>
      <w:r>
        <w:rPr>
          <w:rFonts w:ascii="Times New Roman" w:hAnsi="Times New Roman"/>
          <w:b/>
          <w:sz w:val="20"/>
          <w:u w:val="single"/>
        </w:rPr>
      </w:r>
    </w:p>
    <w:p>
      <w:pPr>
        <w:pStyle w:val="ListParagraph"/>
        <w:numPr>
          <w:ilvl w:val="0"/>
          <w:numId w:val="3"/>
        </w:numPr>
        <w:rPr>
          <w:rFonts w:ascii="Times New Roman" w:hAnsi="Times New Roman"/>
          <w:b/>
          <w:sz w:val="20"/>
        </w:rPr>
      </w:pPr>
      <w:r>
        <w:rPr>
          <w:rFonts w:ascii="Times New Roman" w:hAnsi="Times New Roman"/>
          <w:b/>
          <w:sz w:val="20"/>
        </w:rPr>
        <w:t xml:space="preserve">Seit Juli 2012 sind 70 Sachleistungsplätze (über WGPV und VaP) für Psychoanalyse  gestrichen! </w:t>
      </w:r>
    </w:p>
    <w:p>
      <w:pPr>
        <w:pStyle w:val="ListParagraph"/>
        <w:numPr>
          <w:ilvl w:val="0"/>
          <w:numId w:val="3"/>
        </w:numPr>
        <w:rPr>
          <w:rFonts w:ascii="Times New Roman" w:hAnsi="Times New Roman"/>
          <w:sz w:val="20"/>
        </w:rPr>
      </w:pPr>
      <w:r>
        <w:rPr>
          <w:rFonts w:ascii="Times New Roman" w:hAnsi="Times New Roman"/>
          <w:sz w:val="20"/>
        </w:rPr>
        <w:t xml:space="preserve">Im Rahmen des </w:t>
      </w:r>
      <w:r>
        <w:rPr>
          <w:rFonts w:ascii="Times New Roman" w:hAnsi="Times New Roman"/>
          <w:b/>
          <w:sz w:val="20"/>
        </w:rPr>
        <w:t>Wiener Psychoanalytischen Ambulatorium</w:t>
      </w:r>
      <w:r>
        <w:rPr>
          <w:rFonts w:ascii="Times New Roman" w:hAnsi="Times New Roman"/>
          <w:sz w:val="20"/>
        </w:rPr>
        <w:t>s</w:t>
      </w:r>
      <w:r>
        <w:rPr>
          <w:rStyle w:val="Funotenanker"/>
          <w:rFonts w:ascii="Times New Roman" w:hAnsi="Times New Roman"/>
          <w:sz w:val="20"/>
        </w:rPr>
        <w:footnoteReference w:id="2"/>
      </w:r>
      <w:r>
        <w:rPr>
          <w:rFonts w:ascii="Times New Roman" w:hAnsi="Times New Roman"/>
          <w:sz w:val="20"/>
        </w:rPr>
        <w:t xml:space="preserve"> wurden seither von der WGKK bis auf einen einzigen Fall </w:t>
      </w:r>
      <w:r>
        <w:rPr>
          <w:rFonts w:ascii="Times New Roman" w:hAnsi="Times New Roman"/>
          <w:b/>
          <w:sz w:val="20"/>
        </w:rPr>
        <w:t>alle Anträge auf hochfrequente psychoanalytische Behandlung abgelehnt</w:t>
      </w:r>
      <w:r>
        <w:rPr>
          <w:rFonts w:ascii="Times New Roman" w:hAnsi="Times New Roman"/>
          <w:sz w:val="20"/>
        </w:rPr>
        <w:t xml:space="preserve">! </w:t>
      </w:r>
    </w:p>
    <w:p>
      <w:pPr>
        <w:pStyle w:val="ListParagraph"/>
        <w:numPr>
          <w:ilvl w:val="0"/>
          <w:numId w:val="3"/>
        </w:numPr>
        <w:rPr>
          <w:rFonts w:ascii="Times New Roman" w:hAnsi="Times New Roman"/>
          <w:sz w:val="20"/>
        </w:rPr>
      </w:pPr>
      <w:r>
        <w:rPr>
          <w:rFonts w:ascii="Times New Roman" w:hAnsi="Times New Roman"/>
          <w:b/>
          <w:sz w:val="20"/>
        </w:rPr>
        <w:t>Psychoanalysen im Zuschussverfahren</w:t>
      </w:r>
      <w:r>
        <w:rPr>
          <w:rStyle w:val="Funotenanker"/>
          <w:rFonts w:ascii="Times New Roman" w:hAnsi="Times New Roman"/>
          <w:b/>
          <w:sz w:val="20"/>
        </w:rPr>
        <w:footnoteReference w:id="3"/>
      </w:r>
      <w:r>
        <w:rPr>
          <w:rFonts w:ascii="Times New Roman" w:hAnsi="Times New Roman"/>
          <w:sz w:val="20"/>
        </w:rPr>
        <w:t xml:space="preserve"> wurden ab Juli 2015 nur mehr Ausnahmefällen bewilligt!</w:t>
      </w:r>
    </w:p>
    <w:p>
      <w:pPr>
        <w:pStyle w:val="ListParagraph"/>
        <w:numPr>
          <w:ilvl w:val="0"/>
          <w:numId w:val="3"/>
        </w:numPr>
        <w:rPr>
          <w:rFonts w:ascii="Times New Roman" w:hAnsi="Times New Roman"/>
          <w:sz w:val="20"/>
        </w:rPr>
      </w:pPr>
      <w:r>
        <w:rPr>
          <w:rFonts w:ascii="Times New Roman" w:hAnsi="Times New Roman"/>
          <w:sz w:val="20"/>
        </w:rPr>
        <w:t>Beim seither praktizierten</w:t>
      </w:r>
      <w:r>
        <w:rPr>
          <w:rFonts w:ascii="Times New Roman" w:hAnsi="Times New Roman"/>
          <w:b/>
          <w:sz w:val="20"/>
        </w:rPr>
        <w:t xml:space="preserve"> Bewilligungsverfahren der WGKK </w:t>
      </w:r>
      <w:r>
        <w:rPr>
          <w:rFonts w:ascii="Times New Roman" w:hAnsi="Times New Roman"/>
          <w:sz w:val="20"/>
        </w:rPr>
        <w:t xml:space="preserve">wird von PatientInnen und KollegInnen von vielen </w:t>
      </w:r>
      <w:r>
        <w:rPr>
          <w:rFonts w:ascii="Times New Roman" w:hAnsi="Times New Roman"/>
          <w:b/>
          <w:sz w:val="20"/>
        </w:rPr>
        <w:t xml:space="preserve">Missständen </w:t>
      </w:r>
      <w:r>
        <w:rPr>
          <w:rFonts w:ascii="Times New Roman" w:hAnsi="Times New Roman"/>
          <w:sz w:val="20"/>
        </w:rPr>
        <w:t>berichtet!</w:t>
      </w:r>
    </w:p>
    <w:p>
      <w:pPr>
        <w:pStyle w:val="Normal"/>
        <w:ind w:left="360" w:right="0" w:hanging="0"/>
        <w:rPr>
          <w:rFonts w:ascii="Times New Roman" w:hAnsi="Times New Roman"/>
          <w:sz w:val="20"/>
        </w:rPr>
      </w:pPr>
      <w:r>
        <w:rPr>
          <w:rFonts w:ascii="Times New Roman" w:hAnsi="Times New Roman"/>
          <w:sz w:val="20"/>
        </w:rPr>
      </w:r>
    </w:p>
    <w:p>
      <w:pPr>
        <w:pStyle w:val="Normal"/>
        <w:widowControl w:val="false"/>
        <w:ind w:left="360" w:right="0" w:hanging="0"/>
        <w:rPr>
          <w:rFonts w:ascii="Times New Roman" w:hAnsi="Times New Roman"/>
          <w:b/>
          <w:sz w:val="20"/>
          <w:u w:val="single"/>
        </w:rPr>
      </w:pPr>
      <w:r>
        <w:rPr>
          <w:rFonts w:ascii="Times New Roman" w:hAnsi="Times New Roman"/>
          <w:b/>
          <w:sz w:val="20"/>
          <w:u w:val="single"/>
        </w:rPr>
        <w:t xml:space="preserve">Psychoanalyse ist langwierig und kostenintensiv, aber sie wirkt: </w:t>
      </w:r>
    </w:p>
    <w:p>
      <w:pPr>
        <w:pStyle w:val="Normal"/>
        <w:widowControl w:val="false"/>
        <w:ind w:left="360" w:right="0" w:hanging="0"/>
        <w:rPr>
          <w:rFonts w:ascii="Times New Roman" w:hAnsi="Times New Roman"/>
          <w:b/>
          <w:sz w:val="20"/>
          <w:u w:val="single"/>
        </w:rPr>
      </w:pPr>
      <w:r>
        <w:rPr>
          <w:rFonts w:ascii="Times New Roman" w:hAnsi="Times New Roman"/>
          <w:b/>
          <w:sz w:val="20"/>
          <w:u w:val="single"/>
        </w:rPr>
      </w:r>
    </w:p>
    <w:p>
      <w:pPr>
        <w:pStyle w:val="ListParagraph"/>
        <w:widowControl w:val="false"/>
        <w:numPr>
          <w:ilvl w:val="0"/>
          <w:numId w:val="2"/>
        </w:numPr>
        <w:ind w:left="720" w:right="0" w:hanging="360"/>
        <w:rPr>
          <w:rFonts w:ascii="Times New Roman" w:hAnsi="Times New Roman"/>
          <w:sz w:val="20"/>
        </w:rPr>
      </w:pPr>
      <w:r>
        <w:rPr>
          <w:rFonts w:ascii="Times New Roman" w:hAnsi="Times New Roman"/>
          <w:sz w:val="20"/>
        </w:rPr>
        <w:t xml:space="preserve">Sie ist insbesondere in jenen Fällen indiziert, bei denen nicht nur ein aktuelles seelisches Leiden vorliegt. Diese Behandlungen sind im Einzelfall zwar teuer, machen aber – wenn notwendig –  Bereiche des Seelenlebens therapeutisch zugänglich, die mit anderen Methoden nicht mehr erreichbar sind. Damit wirken sie nachhaltiger und einer Chronifizierung entgegen, was auch internationale Studien belegen. </w:t>
      </w:r>
    </w:p>
    <w:p>
      <w:pPr>
        <w:pStyle w:val="ListParagraph"/>
        <w:widowControl w:val="false"/>
        <w:numPr>
          <w:ilvl w:val="0"/>
          <w:numId w:val="2"/>
        </w:numPr>
        <w:ind w:left="720" w:right="0" w:hanging="360"/>
        <w:rPr>
          <w:rFonts w:ascii="Times New Roman" w:hAnsi="Times New Roman"/>
          <w:sz w:val="20"/>
        </w:rPr>
      </w:pPr>
      <w:r>
        <w:rPr>
          <w:rFonts w:ascii="Times New Roman" w:hAnsi="Times New Roman"/>
          <w:sz w:val="20"/>
        </w:rPr>
        <w:t>Eine Psychoanalyse ist ein Verfahren, dass sowohl den PatientInnen als auch den BehandlerInnen viel abverlangt und wird deshalb von niemandem leichtfertig in Angriff genommen. Es wird mit gutem Grund nur bei entsprechender Indikation und hoher Motivation bzw. Eignung der PatientInnen eingesetzt.</w:t>
      </w:r>
    </w:p>
    <w:p>
      <w:pPr>
        <w:pStyle w:val="ListParagraph"/>
        <w:numPr>
          <w:ilvl w:val="0"/>
          <w:numId w:val="2"/>
        </w:numPr>
        <w:ind w:left="720" w:right="0" w:hanging="360"/>
        <w:rPr>
          <w:rFonts w:ascii="Times New Roman" w:hAnsi="Times New Roman"/>
          <w:sz w:val="20"/>
        </w:rPr>
      </w:pPr>
      <w:r>
        <w:rPr>
          <w:rFonts w:ascii="Times New Roman" w:hAnsi="Times New Roman"/>
          <w:sz w:val="20"/>
        </w:rPr>
        <w:t>Der direkte Einsparungseffekt dieser Maßnahmen für die WGKK ist relativ gering und volkswirtschaftlich insgesamt eher sogar kontraproduktiv.</w:t>
      </w:r>
    </w:p>
    <w:p>
      <w:pPr>
        <w:pStyle w:val="Normal"/>
        <w:widowControl w:val="false"/>
        <w:ind w:left="360" w:right="0" w:hanging="0"/>
        <w:rPr>
          <w:rFonts w:ascii="Times New Roman" w:hAnsi="Times New Roman"/>
          <w:sz w:val="20"/>
        </w:rPr>
      </w:pPr>
      <w:r>
        <w:rPr>
          <w:rFonts w:ascii="Times New Roman" w:hAnsi="Times New Roman"/>
          <w:sz w:val="20"/>
        </w:rPr>
      </w:r>
    </w:p>
    <w:p>
      <w:pPr>
        <w:pStyle w:val="Normal"/>
        <w:widowControl w:val="false"/>
        <w:ind w:left="360" w:right="0" w:hanging="0"/>
        <w:rPr>
          <w:rFonts w:ascii="Times New Roman" w:hAnsi="Times New Roman"/>
          <w:b/>
          <w:sz w:val="20"/>
          <w:u w:val="single"/>
        </w:rPr>
      </w:pPr>
      <w:r>
        <w:rPr>
          <w:rFonts w:ascii="Times New Roman" w:hAnsi="Times New Roman"/>
          <w:b/>
          <w:sz w:val="20"/>
          <w:u w:val="single"/>
        </w:rPr>
        <w:t xml:space="preserve">Es ist nicht hinzunehmen, </w:t>
      </w:r>
    </w:p>
    <w:p>
      <w:pPr>
        <w:pStyle w:val="Normal"/>
        <w:widowControl w:val="false"/>
        <w:ind w:left="360" w:right="0" w:hanging="0"/>
        <w:rPr>
          <w:rFonts w:ascii="Times New Roman" w:hAnsi="Times New Roman"/>
          <w:b/>
          <w:sz w:val="20"/>
          <w:u w:val="single"/>
        </w:rPr>
      </w:pPr>
      <w:r>
        <w:rPr>
          <w:rFonts w:ascii="Times New Roman" w:hAnsi="Times New Roman"/>
          <w:b/>
          <w:sz w:val="20"/>
          <w:u w:val="single"/>
        </w:rPr>
      </w:r>
    </w:p>
    <w:p>
      <w:pPr>
        <w:pStyle w:val="ListParagraph"/>
        <w:widowControl w:val="false"/>
        <w:numPr>
          <w:ilvl w:val="0"/>
          <w:numId w:val="4"/>
        </w:numPr>
        <w:ind w:left="720" w:right="0" w:hanging="360"/>
        <w:rPr>
          <w:rFonts w:ascii="Times New Roman" w:hAnsi="Times New Roman"/>
          <w:sz w:val="20"/>
        </w:rPr>
      </w:pPr>
      <w:r>
        <w:rPr>
          <w:rFonts w:ascii="Times New Roman" w:hAnsi="Times New Roman"/>
          <w:sz w:val="20"/>
        </w:rPr>
        <w:t>dass bei psychischen Krankheiten anders als in der Organmedizin kostenintensive Verfahren einfach nicht mehr bewilligt werden, weil es keine starke Lobby gibt!</w:t>
      </w:r>
    </w:p>
    <w:p>
      <w:pPr>
        <w:pStyle w:val="ListParagraph"/>
        <w:numPr>
          <w:ilvl w:val="0"/>
          <w:numId w:val="4"/>
        </w:numPr>
        <w:ind w:left="720" w:right="0" w:hanging="360"/>
        <w:rPr>
          <w:rFonts w:ascii="Times New Roman" w:hAnsi="Times New Roman"/>
          <w:sz w:val="20"/>
        </w:rPr>
      </w:pPr>
      <w:r>
        <w:rPr>
          <w:rFonts w:ascii="Times New Roman" w:hAnsi="Times New Roman"/>
          <w:sz w:val="20"/>
        </w:rPr>
        <w:t>dass Psychoanalyse als ein anerkanntes wissenschaftlich fundiertes Psychotherapieverfahren nur mehr für Wohlhabende zugänglich ist!</w:t>
      </w:r>
    </w:p>
    <w:p>
      <w:pPr>
        <w:pStyle w:val="Normal"/>
        <w:ind w:left="360" w:right="0" w:hanging="0"/>
        <w:rPr>
          <w:rFonts w:ascii="Times New Roman" w:hAnsi="Times New Roman"/>
          <w:sz w:val="20"/>
        </w:rPr>
      </w:pPr>
      <w:r>
        <w:rPr>
          <w:rFonts w:ascii="Times New Roman" w:hAnsi="Times New Roman"/>
          <w:sz w:val="20"/>
        </w:rPr>
      </w:r>
    </w:p>
    <w:p>
      <w:pPr>
        <w:pStyle w:val="Normal"/>
        <w:ind w:left="360" w:right="0" w:hanging="0"/>
        <w:rPr>
          <w:rFonts w:ascii="Times New Roman" w:hAnsi="Times New Roman"/>
          <w:b/>
          <w:sz w:val="20"/>
        </w:rPr>
      </w:pPr>
      <w:r>
        <w:rPr>
          <w:rFonts w:ascii="Times New Roman" w:hAnsi="Times New Roman"/>
          <w:b/>
          <w:sz w:val="20"/>
        </w:rPr>
        <w:t>Auch Arbeitslose, ArbeitnehmerInnen mit niedrigerem Einkommen und deren Kinder sollen im Bedarfsfall Zugang zu dieser Behandlungsform haben!</w:t>
      </w:r>
    </w:p>
    <w:p>
      <w:pPr>
        <w:pStyle w:val="Normal"/>
        <w:tabs>
          <w:tab w:val="left" w:pos="5280" w:leader="none"/>
        </w:tabs>
        <w:spacing w:lineRule="exact" w:line="280"/>
        <w:rPr>
          <w:rFonts w:ascii="Times New Roman" w:hAnsi="Times New Roman"/>
          <w:sz w:val="20"/>
        </w:rPr>
      </w:pPr>
      <w:r>
        <w:rPr>
          <w:rFonts w:ascii="Times New Roman" w:hAnsi="Times New Roman"/>
          <w:sz w:val="20"/>
        </w:rPr>
      </w:r>
    </w:p>
    <w:tbl>
      <w:tblPr>
        <w:jc w:val="left"/>
        <w:tblInd w:w="0" w:type="dxa"/>
        <w:tblBorders>
          <w:top w:val="nil"/>
          <w:left w:val="double" w:sz="4" w:space="0" w:color="00000A"/>
          <w:bottom w:val="nil"/>
          <w:insideH w:val="nil"/>
          <w:right w:val="nil"/>
          <w:insideV w:val="nil"/>
        </w:tblBorders>
        <w:tblCellMar>
          <w:top w:w="0" w:type="dxa"/>
          <w:left w:w="107" w:type="dxa"/>
          <w:bottom w:w="0" w:type="dxa"/>
          <w:right w:w="108" w:type="dxa"/>
        </w:tblCellMar>
      </w:tblPr>
      <w:tblGrid>
        <w:gridCol w:w="9206"/>
      </w:tblGrid>
      <w:tr>
        <w:trPr>
          <w:cantSplit w:val="false"/>
        </w:trPr>
        <w:tc>
          <w:tcPr>
            <w:tcW w:w="9206" w:type="dxa"/>
            <w:tcBorders>
              <w:top w:val="nil"/>
              <w:left w:val="double" w:sz="4" w:space="0" w:color="00000A"/>
              <w:bottom w:val="nil"/>
              <w:insideH w:val="nil"/>
              <w:right w:val="nil"/>
              <w:insideV w:val="nil"/>
            </w:tcBorders>
            <w:shd w:fill="auto" w:val="clear"/>
            <w:tcMar>
              <w:left w:w="107" w:type="dxa"/>
            </w:tcMar>
          </w:tcPr>
          <w:p>
            <w:pPr>
              <w:pStyle w:val="Normal"/>
              <w:spacing w:lineRule="exact" w:line="280"/>
              <w:rPr>
                <w:rFonts w:ascii="Times New Roman" w:hAnsi="Times New Roman"/>
                <w:b/>
              </w:rPr>
            </w:pPr>
            <w:r>
              <w:rPr>
                <w:rFonts w:ascii="Times New Roman" w:hAnsi="Times New Roman"/>
                <w:b/>
              </w:rPr>
              <w:t>Die KammerrätInnen der AK Wien fordern die WGKK auf,</w:t>
            </w:r>
          </w:p>
          <w:p>
            <w:pPr>
              <w:pStyle w:val="Normal"/>
              <w:widowControl w:val="false"/>
              <w:spacing w:lineRule="exact" w:line="120"/>
              <w:ind w:left="360" w:right="0" w:hanging="0"/>
              <w:rPr>
                <w:rFonts w:ascii="Times New Roman" w:hAnsi="Times New Roman"/>
                <w:b/>
                <w:u w:val="single"/>
              </w:rPr>
            </w:pPr>
            <w:r>
              <w:rPr>
                <w:rFonts w:ascii="Times New Roman" w:hAnsi="Times New Roman"/>
                <w:b/>
                <w:u w:val="single"/>
              </w:rPr>
            </w:r>
          </w:p>
          <w:p>
            <w:pPr>
              <w:pStyle w:val="ListParagraph"/>
              <w:numPr>
                <w:ilvl w:val="0"/>
                <w:numId w:val="1"/>
              </w:numPr>
              <w:spacing w:lineRule="exact" w:line="280"/>
              <w:rPr>
                <w:rFonts w:ascii="Times New Roman" w:hAnsi="Times New Roman"/>
                <w:b/>
              </w:rPr>
            </w:pPr>
            <w:r>
              <w:rPr>
                <w:rFonts w:ascii="Times New Roman" w:hAnsi="Times New Roman"/>
                <w:b/>
              </w:rPr>
              <w:t>die 70 kassenfinanzierten Plätze für Psychoanalyse in Wien (als Sachleistung) wieder zur Verfügung zu stellen!</w:t>
            </w:r>
          </w:p>
          <w:p>
            <w:pPr>
              <w:pStyle w:val="ListParagraph"/>
              <w:numPr>
                <w:ilvl w:val="0"/>
                <w:numId w:val="1"/>
              </w:numPr>
              <w:spacing w:lineRule="exact" w:line="280"/>
              <w:rPr>
                <w:rFonts w:ascii="Times New Roman" w:hAnsi="Times New Roman"/>
                <w:b/>
              </w:rPr>
            </w:pPr>
            <w:r>
              <w:rPr>
                <w:rFonts w:ascii="Times New Roman" w:hAnsi="Times New Roman"/>
                <w:b/>
              </w:rPr>
              <w:t>die Psychoanalyseplätze am Wiener Psychoanalytischen Ambulatorium bei entsprechender Indikationen weiterhin zu genehmigen!</w:t>
            </w:r>
          </w:p>
          <w:p>
            <w:pPr>
              <w:pStyle w:val="ListParagraph"/>
              <w:numPr>
                <w:ilvl w:val="0"/>
                <w:numId w:val="1"/>
              </w:numPr>
              <w:spacing w:lineRule="exact" w:line="280"/>
              <w:rPr>
                <w:rFonts w:ascii="Times New Roman" w:hAnsi="Times New Roman"/>
                <w:b/>
              </w:rPr>
            </w:pPr>
            <w:r>
              <w:rPr>
                <w:rFonts w:ascii="Times New Roman" w:hAnsi="Times New Roman"/>
                <w:b/>
              </w:rPr>
              <w:t>die Bewilligungen über das Zuschussverfahren im Sinne der Kranken zu erhöhen!</w:t>
            </w:r>
          </w:p>
          <w:p>
            <w:pPr>
              <w:pStyle w:val="ListParagraph"/>
              <w:numPr>
                <w:ilvl w:val="0"/>
                <w:numId w:val="1"/>
              </w:numPr>
              <w:spacing w:lineRule="exact" w:line="280"/>
              <w:rPr>
                <w:rFonts w:ascii="Times New Roman" w:hAnsi="Times New Roman"/>
                <w:b/>
              </w:rPr>
            </w:pPr>
            <w:r>
              <w:rPr>
                <w:rFonts w:ascii="Times New Roman" w:hAnsi="Times New Roman"/>
                <w:b/>
              </w:rPr>
              <w:t>das Bewilligungsverfahren im Sinne der Kranken zu verbessern!</w:t>
            </w:r>
          </w:p>
        </w:tc>
      </w:tr>
    </w:tbl>
    <w:p>
      <w:pPr>
        <w:pStyle w:val="Normal"/>
        <w:rPr/>
      </w:pPr>
      <w:r>
        <w:rPr/>
      </w:r>
    </w:p>
    <w:sectPr>
      <w:footnotePr>
        <w:numFmt w:val="decimal"/>
      </w:footnotePr>
      <w:type w:val="nextPage"/>
      <w:pgSz w:w="11906" w:h="16838"/>
      <w:pgMar w:left="1417" w:right="1417" w:header="0" w:top="1417" w:footer="0" w:bottom="1134"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unote"/>
        <w:rPr>
          <w:rFonts w:ascii="Times New Roman" w:hAnsi="Times New Roman"/>
          <w:sz w:val="16"/>
        </w:rPr>
      </w:pPr>
      <w:r>
        <w:rPr>
          <w:rStyle w:val="Footnotereference"/>
          <w:sz w:val="16"/>
        </w:rPr>
        <w:footnoteRef/>
        <w:tab/>
      </w:r>
      <w:r>
        <w:rPr>
          <w:sz w:val="16"/>
        </w:rPr>
        <w:t xml:space="preserve"> </w:t>
      </w:r>
      <w:r>
        <w:rPr>
          <w:rFonts w:ascii="Times New Roman" w:hAnsi="Times New Roman"/>
          <w:sz w:val="16"/>
        </w:rPr>
        <w:t>Das Wiener Psychoanalytische Ambulatorium war von 1922–38 Modelleinrichtung für die Behandlung von mittellosen PatientInnen, wurde 1938 liquidiert, 1999 wieder eröffnet und engagiert sich seither wieder beispielhaft besonders für schwer kranke und mittellose PatientInnen.</w:t>
      </w:r>
    </w:p>
  </w:footnote>
  <w:footnote w:id="3">
    <w:p>
      <w:pPr>
        <w:pStyle w:val="Funote"/>
        <w:rPr>
          <w:rFonts w:ascii="Times New Roman" w:hAnsi="Times New Roman"/>
          <w:sz w:val="16"/>
        </w:rPr>
      </w:pPr>
      <w:r>
        <w:rPr>
          <w:rStyle w:val="Footnotereference"/>
          <w:rFonts w:ascii="Times New Roman" w:hAnsi="Times New Roman"/>
          <w:sz w:val="16"/>
        </w:rPr>
        <w:footnoteRef/>
        <w:tab/>
      </w:r>
      <w:r>
        <w:rPr>
          <w:rFonts w:ascii="Times New Roman" w:hAnsi="Times New Roman"/>
          <w:sz w:val="16"/>
        </w:rPr>
        <w:t xml:space="preserve"> </w:t>
      </w:r>
      <w:r>
        <w:rPr>
          <w:rFonts w:ascii="Times New Roman" w:hAnsi="Times New Roman"/>
          <w:sz w:val="16"/>
        </w:rPr>
        <w:t>Zuschuss der WGKK pro Sitzung € 21,</w:t>
      </w:r>
      <w:bookmarkStart w:id="0" w:name="_GoBack"/>
      <w:bookmarkEnd w:id="0"/>
      <w:r>
        <w:rPr>
          <w:rFonts w:ascii="Times New Roman" w:hAnsi="Times New Roman"/>
          <w:sz w:val="16"/>
        </w:rPr>
        <w:t xml:space="preserve"> 80 seit 23 Jahren nicht valorisiert!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4"/>
  <w:embedSystemFonts/>
  <w:defaultTabStop w:val="708"/>
  <w:footnotePr>
    <w:numFmt w:val="decimal"/>
    <w:footnote w:id="0"/>
    <w:footnote w:id="1"/>
  </w:footnotePr>
</w:settings>
</file>

<file path=word/styles.xml><?xml version="1.0" encoding="utf-8"?>
<w:styles xmlns:w="http://schemas.openxmlformats.org/wordprocessingml/2006/main">
  <w:docDefaults>
    <w:rPrDefault>
      <w:rPr>
        <w:rFonts w:ascii="Cambria" w:hAnsi="Cambria" w:eastAsia="Droid Sans Fallback" w:cs=""/>
        <w:lang w:val="de-DE"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50013e"/>
    <w:pPr>
      <w:widowControl/>
      <w:suppressAutoHyphens w:val="true"/>
      <w:bidi w:val="0"/>
      <w:jc w:val="left"/>
    </w:pPr>
    <w:rPr>
      <w:rFonts w:ascii="Arial" w:hAnsi="Arial" w:eastAsia="Cambria" w:cs="Times New Roman"/>
      <w:color w:val="auto"/>
      <w:sz w:val="22"/>
      <w:szCs w:val="24"/>
      <w:lang w:val="de-DE" w:eastAsia="en-US" w:bidi="ar-SA"/>
    </w:rPr>
  </w:style>
  <w:style w:type="paragraph" w:styleId="Berschrift2">
    <w:name w:val="Überschrift 2"/>
    <w:uiPriority w:val="9"/>
    <w:qFormat/>
    <w:unhideWhenUsed/>
    <w:link w:val="berschrift2Zchn"/>
    <w:rsid w:val="00c339b8"/>
    <w:basedOn w:val="Normal"/>
    <w:next w:val="Normal"/>
    <w:pPr>
      <w:keepNext/>
      <w:keepLines/>
      <w:spacing w:before="40" w:after="0"/>
      <w:outlineLvl w:val="1"/>
    </w:pPr>
    <w:rPr>
      <w:rFonts w:ascii="Calibri" w:hAnsi="Calibri" w:cs=""/>
      <w:color w:val="365F91"/>
      <w:sz w:val="26"/>
      <w:szCs w:val="26"/>
    </w:rPr>
  </w:style>
  <w:style w:type="paragraph" w:styleId="Berschrift3">
    <w:name w:val="Überschrift 3"/>
    <w:uiPriority w:val="9"/>
    <w:qFormat/>
    <w:unhideWhenUsed/>
    <w:link w:val="berschrift3Zchn"/>
    <w:rsid w:val="00c339b8"/>
    <w:basedOn w:val="Normal"/>
    <w:next w:val="Normal"/>
    <w:pPr>
      <w:keepNext/>
      <w:keepLines/>
      <w:spacing w:before="40" w:after="0"/>
      <w:outlineLvl w:val="2"/>
    </w:pPr>
    <w:rPr>
      <w:rFonts w:ascii="Calibri" w:hAnsi="Calibri" w:cs=""/>
      <w:color w:val="243F60"/>
      <w:sz w:val="24"/>
    </w:rPr>
  </w:style>
  <w:style w:type="character" w:styleId="DefaultParagraphFont" w:default="1">
    <w:name w:val="Default Paragraph Font"/>
    <w:uiPriority w:val="1"/>
    <w:semiHidden/>
    <w:unhideWhenUsed/>
    <w:rPr/>
  </w:style>
  <w:style w:type="character" w:styleId="AbsatzStandardschriftart1" w:customStyle="1">
    <w:name w:val="Absatz-Standardschriftart1"/>
    <w:semiHidden/>
    <w:rsid w:val="00f74059"/>
    <w:rPr/>
  </w:style>
  <w:style w:type="character" w:styleId="FunotentextZchn" w:customStyle="1">
    <w:name w:val="Fußnotentext Zchn"/>
    <w:uiPriority w:val="99"/>
    <w:link w:val="Funotentext"/>
    <w:rsid w:val="0050013e"/>
    <w:basedOn w:val="DefaultParagraphFont"/>
    <w:rPr>
      <w:rFonts w:ascii="Cambria" w:hAnsi="Cambria" w:eastAsia="Times New Roman" w:cs="Times New Roman"/>
      <w:sz w:val="24"/>
      <w:szCs w:val="24"/>
      <w:lang w:val="de-AT" w:eastAsia="de-DE"/>
    </w:rPr>
  </w:style>
  <w:style w:type="character" w:styleId="Footnotereference">
    <w:name w:val="footnote reference"/>
    <w:uiPriority w:val="99"/>
    <w:unhideWhenUsed/>
    <w:rsid w:val="0050013e"/>
    <w:basedOn w:val="DefaultParagraphFont"/>
    <w:rPr>
      <w:vertAlign w:val="superscript"/>
    </w:rPr>
  </w:style>
  <w:style w:type="character" w:styleId="SprechblasentextZchn" w:customStyle="1">
    <w:name w:val="Sprechblasentext Zchn"/>
    <w:uiPriority w:val="99"/>
    <w:semiHidden/>
    <w:link w:val="Sprechblasentext"/>
    <w:rsid w:val="0050013e"/>
    <w:basedOn w:val="DefaultParagraphFont"/>
    <w:rPr>
      <w:rFonts w:ascii="Lucida Grande" w:hAnsi="Lucida Grande" w:eastAsia="Cambria" w:cs="Times New Roman"/>
      <w:sz w:val="18"/>
      <w:szCs w:val="18"/>
    </w:rPr>
  </w:style>
  <w:style w:type="character" w:styleId="Berschrift2Zchn" w:customStyle="1">
    <w:name w:val="Überschrift 2 Zchn"/>
    <w:uiPriority w:val="9"/>
    <w:link w:val="berschrift2"/>
    <w:rsid w:val="00c339b8"/>
    <w:basedOn w:val="DefaultParagraphFont"/>
    <w:rPr>
      <w:rFonts w:ascii="Calibri" w:hAnsi="Calibri" w:cs=""/>
      <w:color w:val="365F91"/>
      <w:sz w:val="26"/>
      <w:szCs w:val="26"/>
    </w:rPr>
  </w:style>
  <w:style w:type="character" w:styleId="Berschrift3Zchn" w:customStyle="1">
    <w:name w:val="Überschrift 3 Zchn"/>
    <w:uiPriority w:val="9"/>
    <w:link w:val="berschrift3"/>
    <w:rsid w:val="00c339b8"/>
    <w:basedOn w:val="DefaultParagraphFont"/>
    <w:rPr>
      <w:rFonts w:ascii="Calibri" w:hAnsi="Calibri" w:cs=""/>
      <w:color w:val="243F60"/>
      <w:sz w:val="24"/>
      <w:szCs w:val="24"/>
    </w:rPr>
  </w:style>
  <w:style w:type="character" w:styleId="ListLabel1">
    <w:name w:val="ListLabel 1"/>
    <w:rPr>
      <w:rFonts w:cs="Arial"/>
    </w:rPr>
  </w:style>
  <w:style w:type="character" w:styleId="Funotenanker">
    <w:name w:val="Fußnotenanker"/>
    <w:rPr>
      <w:vertAlign w:val="superscript"/>
    </w:rPr>
  </w:style>
  <w:style w:type="character" w:styleId="Funotenzeichen">
    <w:name w:val="Fußnotenzeichen"/>
    <w:rPr/>
  </w:style>
  <w:style w:type="character" w:styleId="Endnotenanker">
    <w:name w:val="Endnotenanker"/>
    <w:rPr>
      <w:vertAlign w:val="superscript"/>
    </w:rPr>
  </w:style>
  <w:style w:type="character" w:styleId="Endnotenzeichen">
    <w:name w:val="Endnotenzeichen"/>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ListParagraph">
    <w:name w:val="List Paragraph"/>
    <w:uiPriority w:val="34"/>
    <w:qFormat/>
    <w:rsid w:val="0050013e"/>
    <w:basedOn w:val="Normal"/>
    <w:pPr>
      <w:spacing w:before="0" w:after="0"/>
      <w:ind w:left="720" w:right="0" w:hanging="0"/>
      <w:contextualSpacing/>
    </w:pPr>
    <w:rPr/>
  </w:style>
  <w:style w:type="paragraph" w:styleId="Footnotetext">
    <w:name w:val="footnote text"/>
    <w:uiPriority w:val="99"/>
    <w:unhideWhenUsed/>
    <w:link w:val="FunotentextZchn"/>
    <w:rsid w:val="0050013e"/>
    <w:basedOn w:val="Normal"/>
    <w:pPr/>
    <w:rPr>
      <w:rFonts w:ascii="Cambria" w:hAnsi="Cambria" w:eastAsia="Times New Roman"/>
      <w:sz w:val="24"/>
      <w:lang w:val="de-AT" w:eastAsia="de-DE"/>
    </w:rPr>
  </w:style>
  <w:style w:type="paragraph" w:styleId="BalloonText">
    <w:name w:val="Balloon Text"/>
    <w:uiPriority w:val="99"/>
    <w:semiHidden/>
    <w:unhideWhenUsed/>
    <w:link w:val="SprechblasentextZchn"/>
    <w:rsid w:val="0050013e"/>
    <w:basedOn w:val="Normal"/>
    <w:pPr/>
    <w:rPr>
      <w:rFonts w:ascii="Lucida Grande" w:hAnsi="Lucida Grande"/>
      <w:sz w:val="18"/>
      <w:szCs w:val="18"/>
    </w:rPr>
  </w:style>
  <w:style w:type="paragraph" w:styleId="NoSpacing">
    <w:name w:val="No Spacing"/>
    <w:uiPriority w:val="1"/>
    <w:qFormat/>
    <w:rsid w:val="00c339b8"/>
    <w:pPr>
      <w:widowControl/>
      <w:suppressAutoHyphens w:val="true"/>
      <w:bidi w:val="0"/>
      <w:jc w:val="left"/>
    </w:pPr>
    <w:rPr>
      <w:rFonts w:ascii="Arial" w:hAnsi="Arial" w:eastAsia="Cambria" w:cs="Times New Roman"/>
      <w:color w:val="auto"/>
      <w:sz w:val="22"/>
      <w:szCs w:val="24"/>
      <w:lang w:val="de-DE" w:eastAsia="en-US" w:bidi="ar-SA"/>
    </w:rPr>
  </w:style>
  <w:style w:type="paragraph" w:styleId="Funote">
    <w:name w:val="Fußnote"/>
    <w:basedOn w:val="Normal"/>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 w:type="table" w:styleId="Tabellenraster">
    <w:name w:val="Table Grid"/>
    <w:basedOn w:val="NormaleTabelle"/>
    <w:uiPriority w:val="59"/>
    <w:rsid w:val="00832e1a"/>
    <w:tblPr>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2015-04-23T12:52:00Z</dcterms:created>
  <dc:creator>MS</dc:creator>
  <dc:language>de-AT</dc:language>
  <cp:lastModifiedBy>Fritz Lackinger</cp:lastModifiedBy>
  <cp:lastPrinted>2015-04-23T15:14:17Z</cp:lastPrinted>
  <dcterms:modified xsi:type="dcterms:W3CDTF">2015-04-23T12:52:00Z</dcterms:modified>
  <cp:revision>2</cp:revision>
</cp:coreProperties>
</file>