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rFonts w:ascii="Helvetica" w:hAnsi="Helvetica"/>
          <w:color w:val="000000"/>
          <w:sz w:val="24"/>
        </w:rPr>
      </w:pPr>
      <w:r>
        <w:rPr>
          <w:rFonts w:ascii="Helvetica" w:hAnsi="Helvetica"/>
          <w:color w:val="000000"/>
          <w:sz w:val="24"/>
        </w:rPr>
      </w:r>
    </w:p>
    <w:p>
      <w:pPr>
        <w:pStyle w:val="Normal"/>
        <w:rPr>
          <w:rFonts w:ascii="Helvetica" w:hAnsi="Helvetica"/>
          <w:color w:val="000000"/>
          <w:spacing w:val="0"/>
          <w:sz w:val="22"/>
        </w:rPr>
      </w:pPr>
      <w:r>
        <w:rPr>
          <w:rFonts w:ascii="Helvetica" w:hAnsi="Helvetica"/>
          <w:color w:val="000000"/>
          <w:spacing w:val="0"/>
          <w:sz w:val="22"/>
        </w:rPr>
        <w:t>Antrag XX / Aufhebung der Deckelung bei der Weiterverrechnung der Einnahmen aus der Speicherabgabe</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Die UrheberInnenrechtsnovelle 2015 hat die Abgabe auf Speichermedien neu geregelt und die vom Handel einzuhebenden Gebühren auf Speichermedien und die Reprographievergütung zusammengefasst. Diese Abgabe wird vom Handel auf den Preis aufgeschlagen und eingehoben. Der Gesetzgeber hat folgende Regelung vorgenommen:</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 116 Abs 11 Urh-Nov 2015: Für die Jahre 2016 bis 2019 sollen die Einnahmen aus der Speichermedienvergütung und der Reprographievergütung insgesamt den Richtwert von 29. Millionen Euro vor Abzug der Rückerstattungen am jährlichen Gesamtaufkommen nicht übersteigen.</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Dadurch wurde eine Deckelung der Einnahmen festgelegt. </w:t>
      </w:r>
    </w:p>
    <w:p>
      <w:pPr>
        <w:pStyle w:val="Normal"/>
        <w:rPr>
          <w:rFonts w:ascii="Helvetica" w:hAnsi="Helvetica"/>
          <w:color w:val="000000"/>
          <w:spacing w:val="0"/>
          <w:sz w:val="22"/>
        </w:rPr>
      </w:pPr>
      <w:r>
        <w:rPr>
          <w:rFonts w:ascii="Helvetica" w:hAnsi="Helvetica"/>
          <w:color w:val="000000"/>
          <w:spacing w:val="0"/>
          <w:sz w:val="22"/>
        </w:rPr>
        <w:t>Diese Formulierung in der Gesetzesvorlage läuft darauf hinaus, dass zwar die Anzahl der abgabepflichtigen Speichermedien erhöht wurde, das Gesamtaufkommen aber möglichst nicht erhöht wird.</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Es ist nicht geregelt, was nach Erreichen der Deckelung zu passieren hat. Weder ist klar ob die Abgabe weiter eingehoben wird, noch was mit den allenfalls höheren Einnahmen zu geschehen hat.</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Die Einführung einer Deckelung bei Abgaben ist grundsätzlich abzulehnen. Wenn eine Abgabe auf Speichermedien beschlossen wurde um die Leistungen von UrheberInnen noch irgendwie abzugelten, ist nicht einzusehen, warum dies nur durch KäuferInnen bis zur Erreichung der Deckelung zu geschehen hat.</w:t>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r>
    </w:p>
    <w:p>
      <w:pPr>
        <w:pStyle w:val="Normal"/>
        <w:rPr>
          <w:rFonts w:ascii="Helvetica" w:hAnsi="Helvetica"/>
          <w:color w:val="000000"/>
          <w:spacing w:val="0"/>
          <w:sz w:val="22"/>
        </w:rPr>
      </w:pPr>
      <w:r>
        <w:rPr>
          <w:rFonts w:ascii="Helvetica" w:hAnsi="Helvetica"/>
          <w:color w:val="000000"/>
          <w:spacing w:val="0"/>
          <w:sz w:val="22"/>
        </w:rPr>
        <w:t>Die 166. Vollversammlung der Arbeiterkammer Wien möge daher beschließen:</w:t>
      </w:r>
    </w:p>
    <w:p>
      <w:pPr>
        <w:pStyle w:val="Normal"/>
        <w:rPr>
          <w:rFonts w:ascii="Helvetica" w:hAnsi="Helvetica"/>
          <w:color w:val="000000"/>
          <w:spacing w:val="0"/>
          <w:sz w:val="22"/>
        </w:rPr>
      </w:pPr>
      <w:r>
        <w:rPr>
          <w:rFonts w:ascii="Helvetica" w:hAnsi="Helvetica"/>
          <w:color w:val="000000"/>
          <w:spacing w:val="0"/>
          <w:sz w:val="22"/>
        </w:rPr>
        <w:t>Das UrheberInnenrecht ist dahingehend zu novellieren, dass die Bestimmung des §116 Abs 11 ersatzlos gestrichen wird.</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settings.xml><?xml version="1.0" encoding="utf-8"?>
<w:settings xmlns:w="http://schemas.openxmlformats.org/wordprocessingml/2006/main">
  <w:zoom w:percent="68"/>
  <w:defaultTabStop w:val="720"/>
</w:settings>
</file>

<file path=word/styles.xml><?xml version="1.0" encoding="utf-8"?>
<w:styles xmlns:w="http://schemas.openxmlformats.org/wordprocessingml/2006/main">
  <w:docDefaults>
    <w:rPrDefault>
      <w:rPr>
        <w:rFonts w:ascii="Liberation Serif" w:hAnsi="Liberation Serif" w:eastAsia="Arial Unicode MS" w:cs="Arial Unicode MS"/>
        <w:sz w:val="24"/>
        <w:szCs w:val="24"/>
        <w:lang w:val="de-AT"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Arial Unicode MS" w:cs="Arial Unicode MS"/>
      <w:color w:val="00000A"/>
      <w:sz w:val="24"/>
      <w:szCs w:val="24"/>
      <w:lang w:val="de-AT" w:eastAsia="zh-CN" w:bidi="hi-IN"/>
    </w:rPr>
  </w:style>
  <w:style w:type="paragraph" w:styleId="Berschrift">
    <w:name w:val="Überschrift"/>
    <w:basedOn w:val="Normal"/>
    <w:next w:val="Textkrper"/>
    <w:pPr>
      <w:keepNext/>
      <w:spacing w:before="240" w:after="120"/>
    </w:pPr>
    <w:rPr>
      <w:rFonts w:ascii="Liberation Sans" w:hAnsi="Liberation Sans" w:eastAsia="Arial Unicode MS" w:cs="Arial Unicode M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2016-05-04T11:25:06Z</dcterms:created>
  <dc:language>de-AT</dc:language>
  <cp:revision>0</cp:revision>
</cp:coreProperties>
</file>