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media/image8.png" ContentType="image/png"/>
  <Override PartName="/word/media/image7.jpeg" ContentType="image/jpe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ackground w:color="FFFFFF"/>
  <w:body>
    <w:p>
      <w:pPr>
        <w:pStyle w:val="Normal"/>
        <w:rPr>
          <w:rFonts w:cs="FreeSans" w:ascii="FreeSans" w:hAnsi="FreeSans"/>
          <w:sz w:val="22"/>
          <w:szCs w:val="22"/>
          <w:lang w:val="de-AT"/>
        </w:rPr>
      </w:pPr>
      <w:r>
        <w:rPr>
          <w:rFonts w:cs="FreeSans" w:ascii="FreeSans" w:hAnsi="FreeSans"/>
          <w:sz w:val="22"/>
          <w:szCs w:val="22"/>
          <w:lang w:val="de-AT"/>
        </w:rPr>
        <w:drawing>
          <wp:anchor behindDoc="0" distT="0" distB="0" distL="0" distR="0" simplePos="0" locked="0" layoutInCell="1" allowOverlap="1" relativeHeight="0">
            <wp:simplePos x="0" y="0"/>
            <wp:positionH relativeFrom="column">
              <wp:posOffset>4188460</wp:posOffset>
            </wp:positionH>
            <wp:positionV relativeFrom="paragraph">
              <wp:posOffset>-170180</wp:posOffset>
            </wp:positionV>
            <wp:extent cx="2123440" cy="1021715"/>
            <wp:effectExtent l="0" t="0" r="0" b="0"/>
            <wp:wrapSquare wrapText="largest"/>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2123440" cy="1021715"/>
                    </a:xfrm>
                    <a:prstGeom prst="rect">
                      <a:avLst/>
                    </a:prstGeom>
                    <a:noFill/>
                    <a:ln w="9525">
                      <a:noFill/>
                      <a:miter lim="800000"/>
                      <a:headEnd/>
                      <a:tailEnd/>
                    </a:ln>
                  </pic:spPr>
                </pic:pic>
              </a:graphicData>
            </a:graphic>
          </wp:anchor>
        </w:drawing>
      </w:r>
    </w:p>
    <w:p>
      <w:pPr>
        <w:pStyle w:val="Normal"/>
        <w:rPr>
          <w:rFonts w:cs="FreeSans" w:ascii="FreeSans" w:hAnsi="FreeSans"/>
          <w:sz w:val="22"/>
          <w:szCs w:val="22"/>
          <w:lang w:val="de-AT"/>
        </w:rPr>
      </w:pPr>
      <w:r>
        <w:rPr>
          <w:rFonts w:cs="FreeSans" w:ascii="FreeSans" w:hAnsi="FreeSans"/>
          <w:sz w:val="22"/>
          <w:szCs w:val="22"/>
          <w:lang w:val="de-AT"/>
        </w:rPr>
      </w:r>
    </w:p>
    <w:p>
      <w:pPr>
        <w:pStyle w:val="Normal"/>
        <w:rPr>
          <w:rFonts w:cs="FreeSans" w:ascii="FreeSans" w:hAnsi="FreeSans"/>
          <w:sz w:val="22"/>
          <w:szCs w:val="22"/>
          <w:lang w:val="de-AT"/>
        </w:rPr>
      </w:pPr>
      <w:r>
        <w:rPr>
          <w:rFonts w:cs="FreeSans" w:ascii="FreeSans" w:hAnsi="FreeSans"/>
          <w:sz w:val="22"/>
          <w:szCs w:val="22"/>
          <w:lang w:val="de-AT"/>
        </w:rPr>
      </w:r>
    </w:p>
    <w:p>
      <w:pPr>
        <w:pStyle w:val="Normal"/>
        <w:rPr>
          <w:rFonts w:cs="FreeSans" w:ascii="FreeSans" w:hAnsi="FreeSans"/>
          <w:sz w:val="22"/>
          <w:szCs w:val="22"/>
          <w:lang w:val="de-AT"/>
        </w:rPr>
      </w:pPr>
      <w:r>
        <w:rPr>
          <w:rFonts w:cs="FreeSans" w:ascii="FreeSans" w:hAnsi="FreeSans"/>
          <w:sz w:val="22"/>
          <w:szCs w:val="22"/>
          <w:lang w:val="de-AT"/>
        </w:rPr>
      </w:r>
    </w:p>
    <w:p>
      <w:pPr>
        <w:pStyle w:val="Normal"/>
        <w:rPr>
          <w:rFonts w:cs="FreeSans" w:ascii="FreeSans" w:hAnsi="FreeSans"/>
          <w:sz w:val="22"/>
          <w:szCs w:val="22"/>
          <w:lang w:val="de-AT"/>
        </w:rPr>
      </w:pPr>
      <w:r>
        <w:rPr>
          <w:rFonts w:cs="FreeSans" w:ascii="FreeSans" w:hAnsi="FreeSans"/>
          <w:sz w:val="22"/>
          <w:szCs w:val="22"/>
          <w:lang w:val="de-AT"/>
        </w:rPr>
      </w:r>
    </w:p>
    <w:p>
      <w:pPr>
        <w:pStyle w:val="Normal"/>
        <w:rPr>
          <w:rFonts w:cs="FreeSans" w:ascii="FreeSans" w:hAnsi="FreeSans"/>
          <w:sz w:val="22"/>
          <w:szCs w:val="22"/>
          <w:lang w:val="de-AT"/>
        </w:rPr>
      </w:pPr>
      <w:r>
        <w:rPr>
          <w:rFonts w:cs="FreeSans" w:ascii="FreeSans" w:hAnsi="FreeSans"/>
          <w:sz w:val="22"/>
          <w:szCs w:val="22"/>
          <w:lang w:val="de-AT"/>
        </w:rPr>
      </w:r>
    </w:p>
    <w:p>
      <w:pPr>
        <w:pStyle w:val="Normal"/>
        <w:rPr>
          <w:rFonts w:cs="FreeSans" w:ascii="FreeSans" w:hAnsi="FreeSans"/>
          <w:sz w:val="22"/>
          <w:szCs w:val="22"/>
          <w:lang w:val="de-AT"/>
        </w:rPr>
      </w:pPr>
      <w:r>
        <w:rPr>
          <w:rFonts w:cs="FreeSans" w:ascii="FreeSans" w:hAnsi="FreeSans"/>
          <w:sz w:val="22"/>
          <w:szCs w:val="22"/>
          <w:lang w:val="de-AT"/>
        </w:rPr>
      </w:r>
    </w:p>
    <w:p>
      <w:pPr>
        <w:pStyle w:val="Normal"/>
        <w:rPr>
          <w:rFonts w:eastAsia="FreeSans" w:cs="FreeSans" w:ascii="FreeSans" w:hAnsi="FreeSans"/>
          <w:sz w:val="22"/>
          <w:szCs w:val="22"/>
          <w:lang w:val="de-AT"/>
        </w:rPr>
      </w:pPr>
      <w:r>
        <w:rPr>
          <w:rFonts w:cs="FreeSans" w:ascii="FreeSans" w:hAnsi="FreeSans"/>
          <w:sz w:val="22"/>
          <w:szCs w:val="22"/>
          <w:lang w:val="de-AT"/>
        </w:rPr>
        <w:t>Antrag</w:t>
      </w:r>
      <w:r>
        <w:rPr>
          <w:rFonts w:eastAsia="FreeSans" w:cs="FreeSans" w:ascii="FreeSans" w:hAnsi="FreeSans"/>
          <w:sz w:val="22"/>
          <w:szCs w:val="22"/>
          <w:lang w:val="de-AT"/>
        </w:rPr>
        <w:t xml:space="preserve"> 02</w:t>
      </w:r>
    </w:p>
    <w:p>
      <w:pPr>
        <w:pStyle w:val="Normal"/>
        <w:rPr>
          <w:rFonts w:cs="FreeSans" w:ascii="FreeSans" w:hAnsi="FreeSans"/>
          <w:sz w:val="22"/>
          <w:szCs w:val="22"/>
          <w:lang w:val="de-AT"/>
        </w:rPr>
      </w:pPr>
      <w:r>
        <w:rPr>
          <w:rFonts w:cs="FreeSans" w:ascii="FreeSans" w:hAnsi="FreeSans"/>
          <w:sz w:val="22"/>
          <w:szCs w:val="22"/>
          <w:lang w:val="de-AT"/>
        </w:rPr>
      </w:r>
    </w:p>
    <w:p>
      <w:pPr>
        <w:pStyle w:val="Normal"/>
        <w:rPr>
          <w:rFonts w:cs="FreeSans" w:ascii="FreeSans" w:hAnsi="FreeSans"/>
          <w:b/>
          <w:sz w:val="22"/>
          <w:szCs w:val="22"/>
          <w:lang w:val="de-AT"/>
        </w:rPr>
      </w:pPr>
      <w:r>
        <w:rPr>
          <w:rFonts w:cs="FreeSans" w:ascii="FreeSans" w:hAnsi="FreeSans"/>
          <w:sz w:val="22"/>
          <w:szCs w:val="22"/>
          <w:lang w:val="de-AT"/>
        </w:rPr>
        <w:t>der</w:t>
      </w:r>
      <w:r>
        <w:rPr>
          <w:rFonts w:eastAsia="FreeSans" w:cs="FreeSans" w:ascii="FreeSans" w:hAnsi="FreeSans"/>
          <w:sz w:val="22"/>
          <w:szCs w:val="22"/>
          <w:lang w:val="de-AT"/>
        </w:rPr>
        <w:t xml:space="preserve"> </w:t>
      </w:r>
      <w:r>
        <w:rPr>
          <w:rFonts w:cs="FreeSans" w:ascii="FreeSans" w:hAnsi="FreeSans"/>
          <w:b/>
          <w:sz w:val="22"/>
          <w:szCs w:val="22"/>
          <w:lang w:val="de-AT"/>
        </w:rPr>
        <w:t>AUGE/UG</w:t>
      </w:r>
      <w:r>
        <w:rPr>
          <w:rFonts w:eastAsia="FreeSans" w:cs="FreeSans" w:ascii="FreeSans" w:hAnsi="FreeSans"/>
          <w:b/>
          <w:sz w:val="22"/>
          <w:szCs w:val="22"/>
          <w:lang w:val="de-AT"/>
        </w:rPr>
        <w:t xml:space="preserve"> </w:t>
      </w:r>
      <w:r>
        <w:rPr>
          <w:rFonts w:cs="FreeSans" w:ascii="FreeSans" w:hAnsi="FreeSans"/>
          <w:b/>
          <w:sz w:val="22"/>
          <w:szCs w:val="22"/>
          <w:lang w:val="de-AT"/>
        </w:rPr>
        <w:t>-</w:t>
      </w:r>
    </w:p>
    <w:p>
      <w:pPr>
        <w:pStyle w:val="Normal"/>
        <w:rPr>
          <w:rFonts w:cs="FreeSans" w:ascii="FreeSans" w:hAnsi="FreeSans"/>
          <w:sz w:val="22"/>
          <w:szCs w:val="22"/>
          <w:lang w:val="de-AT"/>
        </w:rPr>
      </w:pPr>
      <w:r>
        <w:rPr>
          <w:rFonts w:cs="FreeSans" w:ascii="FreeSans" w:hAnsi="FreeSans"/>
          <w:sz w:val="22"/>
          <w:szCs w:val="22"/>
          <w:lang w:val="de-AT"/>
        </w:rPr>
        <w:t>Alternative</w:t>
      </w:r>
      <w:r>
        <w:rPr>
          <w:rFonts w:eastAsia="FreeSans" w:cs="FreeSans" w:ascii="FreeSans" w:hAnsi="FreeSans"/>
          <w:sz w:val="22"/>
          <w:szCs w:val="22"/>
          <w:lang w:val="de-AT"/>
        </w:rPr>
        <w:t xml:space="preserve"> </w:t>
      </w:r>
      <w:r>
        <w:rPr>
          <w:rFonts w:cs="FreeSans" w:ascii="FreeSans" w:hAnsi="FreeSans"/>
          <w:sz w:val="22"/>
          <w:szCs w:val="22"/>
          <w:lang w:val="de-AT"/>
        </w:rPr>
        <w:t>und</w:t>
      </w:r>
      <w:r>
        <w:rPr>
          <w:rFonts w:eastAsia="FreeSans" w:cs="FreeSans" w:ascii="FreeSans" w:hAnsi="FreeSans"/>
          <w:sz w:val="22"/>
          <w:szCs w:val="22"/>
          <w:lang w:val="de-AT"/>
        </w:rPr>
        <w:t xml:space="preserve"> </w:t>
      </w:r>
      <w:r>
        <w:rPr>
          <w:rFonts w:cs="FreeSans" w:ascii="FreeSans" w:hAnsi="FreeSans"/>
          <w:sz w:val="22"/>
          <w:szCs w:val="22"/>
          <w:lang w:val="de-AT"/>
        </w:rPr>
        <w:t>Grüne</w:t>
      </w:r>
      <w:r>
        <w:rPr>
          <w:rFonts w:eastAsia="FreeSans" w:cs="FreeSans" w:ascii="FreeSans" w:hAnsi="FreeSans"/>
          <w:sz w:val="22"/>
          <w:szCs w:val="22"/>
          <w:lang w:val="de-AT"/>
        </w:rPr>
        <w:t xml:space="preserve"> </w:t>
      </w:r>
      <w:r>
        <w:rPr>
          <w:rFonts w:cs="FreeSans" w:ascii="FreeSans" w:hAnsi="FreeSans"/>
          <w:sz w:val="22"/>
          <w:szCs w:val="22"/>
          <w:lang w:val="de-AT"/>
        </w:rPr>
        <w:t>GewerkschafterInnen/Unabhängige</w:t>
      </w:r>
      <w:r>
        <w:rPr>
          <w:rFonts w:eastAsia="FreeSans" w:cs="FreeSans" w:ascii="FreeSans" w:hAnsi="FreeSans"/>
          <w:sz w:val="22"/>
          <w:szCs w:val="22"/>
          <w:lang w:val="de-AT"/>
        </w:rPr>
        <w:t xml:space="preserve"> </w:t>
      </w:r>
      <w:r>
        <w:rPr>
          <w:rFonts w:cs="FreeSans" w:ascii="FreeSans" w:hAnsi="FreeSans"/>
          <w:sz w:val="22"/>
          <w:szCs w:val="22"/>
          <w:lang w:val="de-AT"/>
        </w:rPr>
        <w:t>GewerkschafterInnen</w:t>
      </w:r>
    </w:p>
    <w:p>
      <w:pPr>
        <w:pStyle w:val="Antragberschrift"/>
        <w:rPr>
          <w:lang w:val="de-AT"/>
        </w:rPr>
      </w:pPr>
      <w:r>
        <w:rPr>
          <w:lang w:val="de-AT"/>
        </w:rPr>
      </w:r>
    </w:p>
    <w:p>
      <w:pPr>
        <w:pStyle w:val="Normal"/>
        <w:rPr>
          <w:rFonts w:cs="FreeSans" w:ascii="FreeSans" w:hAnsi="FreeSans"/>
          <w:sz w:val="22"/>
          <w:szCs w:val="22"/>
          <w:lang w:val="de-AT"/>
        </w:rPr>
      </w:pPr>
      <w:r>
        <w:rPr>
          <w:rFonts w:cs="FreeSans" w:ascii="FreeSans" w:hAnsi="FreeSans"/>
          <w:sz w:val="22"/>
          <w:szCs w:val="22"/>
          <w:lang w:val="de-AT"/>
        </w:rPr>
        <w:t>zur</w:t>
      </w:r>
      <w:r>
        <w:rPr>
          <w:rFonts w:eastAsia="FreeSans" w:cs="FreeSans" w:ascii="FreeSans" w:hAnsi="FreeSans"/>
          <w:sz w:val="22"/>
          <w:szCs w:val="22"/>
          <w:lang w:val="de-AT"/>
        </w:rPr>
        <w:t xml:space="preserve"> 166</w:t>
      </w:r>
      <w:r>
        <w:rPr>
          <w:rFonts w:cs="FreeSans" w:ascii="FreeSans" w:hAnsi="FreeSans"/>
          <w:sz w:val="22"/>
          <w:szCs w:val="22"/>
          <w:lang w:val="de-AT"/>
        </w:rPr>
        <w:t>.</w:t>
      </w:r>
      <w:r>
        <w:rPr>
          <w:rFonts w:eastAsia="FreeSans" w:cs="FreeSans" w:ascii="FreeSans" w:hAnsi="FreeSans"/>
          <w:sz w:val="22"/>
          <w:szCs w:val="22"/>
          <w:lang w:val="de-AT"/>
        </w:rPr>
        <w:t xml:space="preserve"> Vollversammlung </w:t>
      </w:r>
      <w:r>
        <w:rPr>
          <w:rFonts w:cs="FreeSans" w:ascii="FreeSans" w:hAnsi="FreeSans"/>
          <w:sz w:val="22"/>
          <w:szCs w:val="22"/>
          <w:lang w:val="de-AT"/>
        </w:rPr>
        <w:t>der</w:t>
      </w:r>
      <w:r>
        <w:rPr>
          <w:rFonts w:eastAsia="FreeSans" w:cs="FreeSans" w:ascii="FreeSans" w:hAnsi="FreeSans"/>
          <w:sz w:val="22"/>
          <w:szCs w:val="22"/>
          <w:lang w:val="de-AT"/>
        </w:rPr>
        <w:t xml:space="preserve"> A</w:t>
      </w:r>
      <w:r>
        <w:rPr>
          <w:rFonts w:cs="FreeSans" w:ascii="FreeSans" w:hAnsi="FreeSans"/>
          <w:sz w:val="22"/>
          <w:szCs w:val="22"/>
          <w:lang w:val="de-AT"/>
        </w:rPr>
        <w:t>rbeiterkammer</w:t>
      </w:r>
      <w:r>
        <w:rPr>
          <w:rFonts w:eastAsia="FreeSans" w:cs="FreeSans" w:ascii="FreeSans" w:hAnsi="FreeSans"/>
          <w:sz w:val="22"/>
          <w:szCs w:val="22"/>
          <w:lang w:val="de-AT"/>
        </w:rPr>
        <w:t xml:space="preserve"> </w:t>
      </w:r>
      <w:r>
        <w:rPr>
          <w:rFonts w:cs="FreeSans" w:ascii="FreeSans" w:hAnsi="FreeSans"/>
          <w:sz w:val="22"/>
          <w:szCs w:val="22"/>
          <w:lang w:val="de-AT"/>
        </w:rPr>
        <w:t>Wien</w:t>
      </w:r>
    </w:p>
    <w:p>
      <w:pPr>
        <w:pStyle w:val="Sp2txt"/>
        <w:spacing w:before="0" w:after="280"/>
        <w:rPr>
          <w:rFonts w:eastAsia="FreeSans" w:cs="FreeSans" w:ascii="FreeSans" w:hAnsi="FreeSans"/>
          <w:sz w:val="22"/>
          <w:szCs w:val="22"/>
          <w:lang w:val="de-AT"/>
        </w:rPr>
      </w:pPr>
      <w:r>
        <w:rPr>
          <w:rFonts w:cs="FreeSans" w:ascii="FreeSans" w:hAnsi="FreeSans"/>
          <w:sz w:val="22"/>
          <w:szCs w:val="22"/>
          <w:lang w:val="de-AT"/>
        </w:rPr>
        <w:t>am</w:t>
      </w:r>
      <w:r>
        <w:rPr>
          <w:rFonts w:eastAsia="FreeSans" w:cs="FreeSans" w:ascii="FreeSans" w:hAnsi="FreeSans"/>
          <w:sz w:val="22"/>
          <w:szCs w:val="22"/>
          <w:lang w:val="de-AT"/>
        </w:rPr>
        <w:t xml:space="preserve"> 25. Mai 2016</w:t>
      </w:r>
    </w:p>
    <w:p>
      <w:pPr>
        <w:pStyle w:val="AntragText"/>
        <w:rPr>
          <w:sz w:val="24"/>
          <w:szCs w:val="24"/>
          <w:lang w:val="de-AT"/>
        </w:rPr>
      </w:pPr>
      <w:r>
        <w:rPr>
          <w:sz w:val="24"/>
          <w:szCs w:val="24"/>
          <w:lang w:val="de-AT"/>
        </w:rPr>
        <w:t xml:space="preserve">Jährliche Valorisierung von Arbeitslosengeld, Notstandshilfe </w:t>
      </w:r>
      <w:r>
        <w:rPr>
          <w:sz w:val="24"/>
          <w:szCs w:val="24"/>
          <w:lang w:val="de-AT"/>
        </w:rPr>
        <w:t>etc</w:t>
      </w:r>
    </w:p>
    <w:p>
      <w:pPr>
        <w:pStyle w:val="AntragText"/>
        <w:rPr>
          <w:sz w:val="24"/>
          <w:szCs w:val="24"/>
          <w:lang w:val="de-AT"/>
        </w:rPr>
      </w:pPr>
      <w:r>
        <w:rPr>
          <w:sz w:val="24"/>
          <w:szCs w:val="24"/>
          <w:lang w:val="de-AT"/>
        </w:rPr>
      </w:r>
    </w:p>
    <w:p>
      <w:pPr>
        <w:pStyle w:val="AntragText"/>
        <w:rPr>
          <w:rFonts w:eastAsia="Lucida Sans Unicode" w:cs="FreeSans"/>
          <w:b w:val="false"/>
          <w:bCs w:val="false"/>
          <w:color w:val="00000A"/>
          <w:sz w:val="22"/>
          <w:szCs w:val="22"/>
          <w:lang w:val="de-AT" w:eastAsia="zxx" w:bidi="zxx"/>
        </w:rPr>
      </w:pPr>
      <w:r>
        <w:rPr>
          <w:rFonts w:eastAsia="Lucida Sans Unicode" w:cs="FreeSans"/>
          <w:b w:val="false"/>
          <w:bCs w:val="false"/>
          <w:color w:val="00000A"/>
          <w:sz w:val="22"/>
          <w:szCs w:val="22"/>
          <w:lang w:val="de-AT" w:eastAsia="zxx" w:bidi="zxx"/>
        </w:rPr>
        <w:t>Im Jahr 2000 hat die damalige blau-schwarze Regierung eine Regelung abgeschafft, mit der das Arbeitslosengeld valorisiert wurde. Da seither die Höhe eines einmal festgesetzten Arbeitslosengeldes auch dann nicht steigt, wenn ein Mensch über längere Zeit arbeitslos ist, verlieren diese Menschen zunehmend an Fähigkeit, ein Leben in Würde zu führen.</w:t>
      </w:r>
    </w:p>
    <w:p>
      <w:pPr>
        <w:pStyle w:val="Normal"/>
        <w:spacing w:before="113" w:after="0"/>
        <w:rPr>
          <w:rFonts w:ascii="FreeSans" w:hAnsi="FreeSans"/>
          <w:color w:val="000000"/>
          <w:sz w:val="22"/>
          <w:szCs w:val="22"/>
          <w:u w:val="none"/>
          <w:lang w:val="de-AT"/>
        </w:rPr>
      </w:pPr>
      <w:r>
        <w:rPr>
          <w:rFonts w:eastAsia="Lucida Sans Unicode" w:cs="FreeSans" w:ascii="FreeSans" w:hAnsi="FreeSans"/>
          <w:b w:val="false"/>
          <w:bCs w:val="false"/>
          <w:color w:val="00000A"/>
          <w:sz w:val="22"/>
          <w:szCs w:val="22"/>
          <w:lang w:val="de-AT" w:eastAsia="zxx" w:bidi="zxx"/>
        </w:rPr>
        <w:t>Die Zahl der Menschen, die länger als</w:t>
      </w:r>
      <w:r>
        <w:rPr>
          <w:rFonts w:eastAsia="Lucida Sans Unicode" w:cs="FreeSans" w:ascii="FreeSans" w:hAnsi="FreeSans"/>
          <w:b w:val="false"/>
          <w:bCs w:val="false"/>
          <w:color w:val="00000A"/>
          <w:sz w:val="22"/>
          <w:szCs w:val="22"/>
          <w:u w:val="none"/>
          <w:lang w:val="de-AT" w:eastAsia="zxx" w:bidi="zxx"/>
        </w:rPr>
        <w:t xml:space="preserve"> ein Jahr arbeitslos sind, nimmt seit Beginn der Krise im Jahr 2008 stark zu. Diesen Menschen bricht die Existenzgrundlage weg. Die jährliche Valorisierung des Arbeitslosengeldes ist eine notwendige Reaktion der Gesellschaft auf diese Entwicklung. Die Forderung nach einer Valorisierung wird daher auch von den Betroffenen selbst erhoben: So betreibt etwa die Initiative „Aktive Arbeitslose“ derzeit eine</w:t>
      </w:r>
      <w:r>
        <w:rPr>
          <w:rFonts w:ascii="FreeSans" w:hAnsi="FreeSans"/>
          <w:color w:val="000000"/>
          <w:sz w:val="22"/>
          <w:szCs w:val="22"/>
          <w:u w:val="none"/>
          <w:lang w:val="de-AT"/>
        </w:rPr>
        <w:t xml:space="preserve"> </w:t>
      </w:r>
      <w:hyperlink r:id="rId3">
        <w:r>
          <w:rPr>
            <w:rStyle w:val="Internetlink"/>
            <w:rFonts w:ascii="FreeSans" w:hAnsi="FreeSans"/>
            <w:color w:val="000000"/>
            <w:sz w:val="22"/>
            <w:szCs w:val="22"/>
            <w:u w:val="none"/>
            <w:lang w:val="de-AT"/>
          </w:rPr>
          <w:t>Petition zur Valorisierung des Arbeitslosengeldes</w:t>
        </w:r>
      </w:hyperlink>
      <w:r>
        <w:rPr>
          <w:rFonts w:ascii="FreeSans" w:hAnsi="FreeSans"/>
          <w:color w:val="000000"/>
          <w:sz w:val="22"/>
          <w:szCs w:val="22"/>
          <w:u w:val="none"/>
          <w:lang w:val="de-AT"/>
        </w:rPr>
        <w:t>.</w:t>
      </w:r>
    </w:p>
    <w:p>
      <w:pPr>
        <w:pStyle w:val="Normal"/>
        <w:spacing w:before="113" w:after="0"/>
        <w:rPr>
          <w:rFonts w:eastAsia="Lucida Sans Unicode" w:cs="FreeSans" w:ascii="FreeSans" w:hAnsi="FreeSans"/>
          <w:b w:val="false"/>
          <w:bCs w:val="false"/>
          <w:color w:val="000000"/>
          <w:sz w:val="22"/>
          <w:szCs w:val="22"/>
          <w:u w:val="none"/>
          <w:lang w:val="de-AT" w:eastAsia="zxx" w:bidi="zxx"/>
        </w:rPr>
      </w:pPr>
      <w:r>
        <w:rPr>
          <w:rFonts w:eastAsia="Lucida Sans Unicode" w:cs="FreeSans" w:ascii="FreeSans" w:hAnsi="FreeSans"/>
          <w:b w:val="false"/>
          <w:bCs w:val="false"/>
          <w:color w:val="00000A"/>
          <w:sz w:val="22"/>
          <w:szCs w:val="22"/>
          <w:u w:val="none"/>
          <w:lang w:val="de-AT" w:eastAsia="zxx" w:bidi="zxx"/>
        </w:rPr>
        <w:t>Mehr als 50% aller arbeitslosen Menschen sind armuts- oder ausgrenzungsgefährdet. 35% sind jedenfalls armutsgefährdet, da sie nur über ein</w:t>
      </w:r>
      <w:r>
        <w:rPr>
          <w:rFonts w:eastAsia="Lucida Sans Unicode" w:cs="FreeSans" w:ascii="FreeSans" w:hAnsi="FreeSans"/>
          <w:b w:val="false"/>
          <w:bCs w:val="false"/>
          <w:color w:val="000000"/>
          <w:sz w:val="22"/>
          <w:szCs w:val="22"/>
          <w:u w:val="none"/>
          <w:lang w:val="de-AT" w:eastAsia="zxx" w:bidi="zxx"/>
        </w:rPr>
        <w:t xml:space="preserve"> </w:t>
      </w:r>
      <w:hyperlink r:id="rId4">
        <w:r>
          <w:rPr>
            <w:rStyle w:val="Internetlink"/>
            <w:rFonts w:ascii="FreeSans" w:hAnsi="FreeSans"/>
            <w:color w:val="000000"/>
            <w:sz w:val="22"/>
            <w:szCs w:val="22"/>
            <w:u w:val="none"/>
            <w:lang w:val="de-AT"/>
          </w:rPr>
          <w:t>geringes Einkommen</w:t>
        </w:r>
      </w:hyperlink>
      <w:r>
        <w:rPr>
          <w:rFonts w:ascii="FreeSans" w:hAnsi="FreeSans"/>
          <w:color w:val="000000"/>
          <w:sz w:val="22"/>
          <w:szCs w:val="22"/>
          <w:u w:val="none"/>
          <w:lang w:val="de-AT"/>
        </w:rPr>
        <w:t xml:space="preserve"> </w:t>
      </w:r>
      <w:r>
        <w:rPr>
          <w:rFonts w:eastAsia="Lucida Sans Unicode" w:cs="FreeSans" w:ascii="FreeSans" w:hAnsi="FreeSans"/>
          <w:b w:val="false"/>
          <w:bCs w:val="false"/>
          <w:color w:val="000000"/>
          <w:sz w:val="22"/>
          <w:szCs w:val="22"/>
          <w:u w:val="none"/>
          <w:lang w:val="de-AT" w:eastAsia="zxx" w:bidi="zxx"/>
        </w:rPr>
        <w:t>verfügen. Diese Zahlen erhöhen sich, je länger die Arbeitslosigkeit andauert: 42% aller ganzjährig arbeitslosen Menschen sind armutsgefährdet, 67% sind armuts- oder ausgrenzungsgefährdet</w:t>
      </w:r>
      <w:r>
        <w:rPr>
          <w:rStyle w:val="Funotenanker"/>
          <w:rFonts w:eastAsia="Lucida Sans Unicode" w:cs="FreeSans" w:ascii="FreeSans" w:hAnsi="FreeSans"/>
          <w:b w:val="false"/>
          <w:bCs w:val="false"/>
          <w:color w:val="000000"/>
          <w:sz w:val="22"/>
          <w:szCs w:val="22"/>
          <w:u w:val="none"/>
          <w:lang w:val="de-AT" w:eastAsia="zxx" w:bidi="zxx"/>
        </w:rPr>
        <w:footnoteReference w:id="2"/>
      </w:r>
      <w:r>
        <w:rPr>
          <w:rFonts w:eastAsia="Lucida Sans Unicode" w:cs="FreeSans" w:ascii="FreeSans" w:hAnsi="FreeSans"/>
          <w:b w:val="false"/>
          <w:bCs w:val="false"/>
          <w:color w:val="000000"/>
          <w:sz w:val="22"/>
          <w:szCs w:val="22"/>
          <w:u w:val="none"/>
          <w:lang w:val="de-AT" w:eastAsia="zxx" w:bidi="zxx"/>
        </w:rPr>
        <w:t>.</w:t>
      </w:r>
    </w:p>
    <w:p>
      <w:pPr>
        <w:pStyle w:val="Normal"/>
        <w:spacing w:before="113" w:after="0"/>
        <w:rPr>
          <w:rFonts w:eastAsia="Lucida Sans Unicode" w:cs="FreeSans" w:ascii="FreeSans" w:hAnsi="FreeSans"/>
          <w:b w:val="false"/>
          <w:bCs w:val="false"/>
          <w:color w:val="00000A"/>
          <w:sz w:val="22"/>
          <w:szCs w:val="22"/>
          <w:lang w:val="de-AT" w:eastAsia="zxx" w:bidi="zxx"/>
        </w:rPr>
      </w:pPr>
      <w:r>
        <w:rPr>
          <w:rFonts w:eastAsia="Lucida Sans Unicode" w:cs="FreeSans" w:ascii="FreeSans" w:hAnsi="FreeSans"/>
          <w:b w:val="false"/>
          <w:bCs w:val="false"/>
          <w:color w:val="000000"/>
          <w:sz w:val="22"/>
          <w:szCs w:val="22"/>
          <w:u w:val="none"/>
          <w:lang w:val="de-AT" w:eastAsia="zxx" w:bidi="zxx"/>
        </w:rPr>
        <w:t xml:space="preserve">Um das Ausmaß der Problematik deutlich zu machen: Im Jahresdurchschnitt 2015 waren 147.601 Menschen länger als ein Jahr von Leistungen des AMS abhängig (sogenannte langzeitbeschäftigungslose Menschen). Im März 2016 sind es schon 164.170. Den Daten der </w:t>
      </w:r>
      <w:hyperlink r:id="rId5">
        <w:r>
          <w:rPr>
            <w:rStyle w:val="Internetlink"/>
            <w:rFonts w:ascii="FreeSans" w:hAnsi="FreeSans"/>
            <w:color w:val="000000"/>
            <w:sz w:val="22"/>
            <w:szCs w:val="22"/>
            <w:u w:val="none"/>
            <w:lang w:val="de-AT"/>
          </w:rPr>
          <w:t>Statistik Austria zu Armutsgefährdung und Ausgrenzung</w:t>
        </w:r>
      </w:hyperlink>
      <w:r>
        <w:rPr>
          <w:rFonts w:eastAsia="Lucida Sans Unicode" w:cs="FreeSans" w:ascii="FreeSans" w:hAnsi="FreeSans"/>
          <w:b w:val="false"/>
          <w:bCs w:val="false"/>
          <w:color w:val="00000A"/>
          <w:sz w:val="22"/>
          <w:szCs w:val="22"/>
          <w:u w:val="none"/>
          <w:lang w:val="de-AT" w:eastAsia="zxx" w:bidi="zxx"/>
        </w:rPr>
        <w:t xml:space="preserve"> ist zu entnehmen, dass sich mehr als 97.000 Kinder in Österreich in manifester Armut befinden</w:t>
      </w:r>
      <w:r>
        <w:rPr>
          <w:rFonts w:eastAsia="Lucida Sans Unicode" w:cs="FreeSans" w:ascii="FreeSans" w:hAnsi="FreeSans"/>
          <w:b w:val="false"/>
          <w:bCs w:val="false"/>
          <w:color w:val="00000A"/>
          <w:sz w:val="22"/>
          <w:szCs w:val="22"/>
          <w:lang w:val="de-AT" w:eastAsia="zxx" w:bidi="zxx"/>
        </w:rPr>
        <w:t>, weil sie in einem Haushalt mit langzeitarbeitslosen Menschen befinden.</w:t>
      </w:r>
    </w:p>
    <w:p>
      <w:pPr>
        <w:pStyle w:val="Normal"/>
        <w:rPr/>
      </w:pPr>
      <w:r>
        <w:rPr/>
      </w:r>
    </w:p>
    <w:tbl>
      <w:tblPr>
        <w:jc w:val="center"/>
        <w:tblInd w:w="0" w:type="dxa"/>
        <w:tblBorders>
          <w:top w:val="single" w:sz="8" w:space="0" w:color="00000A"/>
          <w:left w:val="single" w:sz="8" w:space="0" w:color="00000A"/>
          <w:bottom w:val="single" w:sz="4" w:space="0" w:color="00000A"/>
          <w:insideH w:val="single" w:sz="4" w:space="0" w:color="00000A"/>
          <w:right w:val="single" w:sz="8" w:space="0" w:color="000001"/>
          <w:insideV w:val="single" w:sz="8" w:space="0" w:color="000001"/>
        </w:tblBorders>
        <w:tblCellMar>
          <w:top w:w="0" w:type="dxa"/>
          <w:left w:w="20" w:type="dxa"/>
          <w:bottom w:w="0" w:type="dxa"/>
          <w:right w:w="70" w:type="dxa"/>
        </w:tblCellMar>
      </w:tblPr>
      <w:tblGrid>
        <w:gridCol w:w="787"/>
        <w:gridCol w:w="1160"/>
        <w:gridCol w:w="1234"/>
        <w:gridCol w:w="1773"/>
      </w:tblGrid>
      <w:tr>
        <w:trPr>
          <w:trHeight w:val="264" w:hRule="atLeast"/>
          <w:cantSplit w:val="false"/>
        </w:trPr>
        <w:tc>
          <w:tcPr>
            <w:tcW w:w="4954" w:type="dxa"/>
            <w:gridSpan w:val="4"/>
            <w:tcBorders>
              <w:top w:val="single" w:sz="8" w:space="0" w:color="00000A"/>
              <w:left w:val="single" w:sz="8" w:space="0" w:color="00000A"/>
              <w:bottom w:val="single" w:sz="4" w:space="0" w:color="00000A"/>
              <w:insideH w:val="single" w:sz="4" w:space="0" w:color="00000A"/>
              <w:right w:val="single" w:sz="8" w:space="0" w:color="000001"/>
              <w:insideV w:val="single" w:sz="8" w:space="0" w:color="000001"/>
            </w:tcBorders>
            <w:shd w:fill="FFFFFF" w:val="clear"/>
            <w:tcMar>
              <w:left w:w="20" w:type="dxa"/>
            </w:tcMar>
          </w:tcPr>
          <w:p>
            <w:pPr>
              <w:pStyle w:val="Normal"/>
              <w:spacing w:lineRule="auto" w:line="240" w:before="0" w:after="0"/>
              <w:jc w:val="center"/>
              <w:rPr>
                <w:rFonts w:eastAsia="Times New Roman" w:cs="Arial"/>
                <w:b/>
                <w:bCs/>
                <w:sz w:val="20"/>
                <w:szCs w:val="20"/>
                <w:lang w:val="de-AT" w:eastAsia="de-AT"/>
              </w:rPr>
            </w:pPr>
            <w:r>
              <w:rPr>
                <w:rFonts w:eastAsia="Times New Roman" w:cs="Arial"/>
                <w:b/>
                <w:bCs/>
                <w:sz w:val="20"/>
                <w:szCs w:val="20"/>
                <w:lang w:val="de-AT" w:eastAsia="de-AT"/>
              </w:rPr>
              <w:t>Langzeitbeschäftigungslose Menschen seit 2007</w:t>
            </w:r>
          </w:p>
        </w:tc>
      </w:tr>
      <w:tr>
        <w:trPr>
          <w:trHeight w:val="264" w:hRule="atLeast"/>
          <w:cantSplit w:val="false"/>
        </w:trPr>
        <w:tc>
          <w:tcPr>
            <w:tcW w:w="787" w:type="dxa"/>
            <w:tcBorders>
              <w:top w:val="nil"/>
              <w:left w:val="single" w:sz="8" w:space="0" w:color="00000A"/>
              <w:bottom w:val="single" w:sz="4" w:space="0" w:color="00000A"/>
              <w:insideH w:val="single" w:sz="4" w:space="0" w:color="00000A"/>
              <w:right w:val="single" w:sz="4" w:space="0" w:color="00000A"/>
              <w:insideV w:val="single" w:sz="4" w:space="0" w:color="00000A"/>
            </w:tcBorders>
            <w:shd w:fill="FFFFFF" w:val="clear"/>
            <w:tcMar>
              <w:left w:w="20" w:type="dxa"/>
            </w:tcMar>
          </w:tcPr>
          <w:p>
            <w:pPr>
              <w:pStyle w:val="Normal"/>
              <w:spacing w:lineRule="auto" w:line="240" w:before="0" w:after="0"/>
              <w:jc w:val="center"/>
              <w:rPr>
                <w:rFonts w:eastAsia="Times New Roman" w:cs="Arial"/>
                <w:b/>
                <w:bCs/>
                <w:sz w:val="20"/>
                <w:szCs w:val="20"/>
                <w:lang w:val="de-AT" w:eastAsia="de-AT"/>
              </w:rPr>
            </w:pPr>
            <w:r>
              <w:rPr>
                <w:rFonts w:eastAsia="Times New Roman" w:cs="Arial"/>
                <w:b/>
                <w:bCs/>
                <w:sz w:val="20"/>
                <w:szCs w:val="20"/>
                <w:lang w:val="de-AT" w:eastAsia="de-AT"/>
              </w:rPr>
              <w:t> </w:t>
            </w:r>
          </w:p>
        </w:tc>
        <w:tc>
          <w:tcPr>
            <w:tcW w:w="1160" w:type="dxa"/>
            <w:tcBorders>
              <w:top w:val="nil"/>
              <w:left w:val="nil"/>
              <w:bottom w:val="single" w:sz="4" w:space="0" w:color="00000A"/>
              <w:insideH w:val="single" w:sz="4" w:space="0" w:color="00000A"/>
              <w:right w:val="single" w:sz="4" w:space="0" w:color="00000A"/>
              <w:insideV w:val="single" w:sz="4" w:space="0" w:color="00000A"/>
            </w:tcBorders>
            <w:shd w:fill="FFFFFF" w:val="clear"/>
            <w:tcMar>
              <w:left w:w="70" w:type="dxa"/>
            </w:tcMar>
          </w:tcPr>
          <w:p>
            <w:pPr>
              <w:pStyle w:val="Normal"/>
              <w:spacing w:lineRule="auto" w:line="240" w:before="0" w:after="0"/>
              <w:jc w:val="center"/>
              <w:rPr>
                <w:rFonts w:eastAsia="Times New Roman" w:cs="Arial"/>
                <w:b/>
                <w:bCs/>
                <w:sz w:val="20"/>
                <w:szCs w:val="20"/>
                <w:lang w:val="de-AT" w:eastAsia="de-AT"/>
              </w:rPr>
            </w:pPr>
            <w:r>
              <w:rPr>
                <w:rFonts w:eastAsia="Times New Roman" w:cs="Arial"/>
                <w:b/>
                <w:bCs/>
                <w:sz w:val="20"/>
                <w:szCs w:val="20"/>
                <w:lang w:val="de-AT" w:eastAsia="de-AT"/>
              </w:rPr>
              <w:t>Frauen</w:t>
            </w:r>
          </w:p>
        </w:tc>
        <w:tc>
          <w:tcPr>
            <w:tcW w:w="1234" w:type="dxa"/>
            <w:tcBorders>
              <w:top w:val="nil"/>
              <w:left w:val="nil"/>
              <w:bottom w:val="single" w:sz="4" w:space="0" w:color="00000A"/>
              <w:insideH w:val="single" w:sz="4" w:space="0" w:color="00000A"/>
              <w:right w:val="single" w:sz="4" w:space="0" w:color="00000A"/>
              <w:insideV w:val="single" w:sz="4" w:space="0" w:color="00000A"/>
            </w:tcBorders>
            <w:shd w:fill="FFFFFF" w:val="clear"/>
            <w:tcMar>
              <w:left w:w="70" w:type="dxa"/>
            </w:tcMar>
          </w:tcPr>
          <w:p>
            <w:pPr>
              <w:pStyle w:val="Normal"/>
              <w:spacing w:lineRule="auto" w:line="240" w:before="0" w:after="0"/>
              <w:jc w:val="center"/>
              <w:rPr>
                <w:rFonts w:eastAsia="Times New Roman" w:cs="Arial"/>
                <w:b/>
                <w:bCs/>
                <w:sz w:val="20"/>
                <w:szCs w:val="20"/>
                <w:lang w:val="de-AT" w:eastAsia="de-AT"/>
              </w:rPr>
            </w:pPr>
            <w:r>
              <w:rPr>
                <w:rFonts w:eastAsia="Times New Roman" w:cs="Arial"/>
                <w:b/>
                <w:bCs/>
                <w:sz w:val="20"/>
                <w:szCs w:val="20"/>
                <w:lang w:val="de-AT" w:eastAsia="de-AT"/>
              </w:rPr>
              <w:t>Männer</w:t>
            </w:r>
          </w:p>
        </w:tc>
        <w:tc>
          <w:tcPr>
            <w:tcW w:w="1773" w:type="dxa"/>
            <w:tcBorders>
              <w:top w:val="nil"/>
              <w:left w:val="nil"/>
              <w:bottom w:val="single" w:sz="4" w:space="0" w:color="00000A"/>
              <w:insideH w:val="single" w:sz="4" w:space="0" w:color="00000A"/>
              <w:right w:val="single" w:sz="8" w:space="0" w:color="00000A"/>
              <w:insideV w:val="single" w:sz="8" w:space="0" w:color="00000A"/>
            </w:tcBorders>
            <w:shd w:fill="FFFFFF" w:val="clear"/>
            <w:tcMar>
              <w:left w:w="70" w:type="dxa"/>
            </w:tcMar>
          </w:tcPr>
          <w:p>
            <w:pPr>
              <w:pStyle w:val="Normal"/>
              <w:spacing w:lineRule="auto" w:line="240" w:before="0" w:after="0"/>
              <w:jc w:val="center"/>
              <w:rPr>
                <w:rFonts w:eastAsia="Times New Roman" w:cs="Arial"/>
                <w:b/>
                <w:bCs/>
                <w:sz w:val="20"/>
                <w:szCs w:val="20"/>
                <w:lang w:val="de-AT" w:eastAsia="de-AT"/>
              </w:rPr>
            </w:pPr>
            <w:r>
              <w:rPr>
                <w:rFonts w:eastAsia="Times New Roman" w:cs="Arial"/>
                <w:b/>
                <w:bCs/>
                <w:sz w:val="20"/>
                <w:szCs w:val="20"/>
                <w:lang w:val="de-AT" w:eastAsia="de-AT"/>
              </w:rPr>
              <w:t>zusammen</w:t>
            </w:r>
          </w:p>
        </w:tc>
      </w:tr>
      <w:tr>
        <w:trPr>
          <w:trHeight w:val="264" w:hRule="atLeast"/>
          <w:cantSplit w:val="false"/>
        </w:trPr>
        <w:tc>
          <w:tcPr>
            <w:tcW w:w="787" w:type="dxa"/>
            <w:tcBorders>
              <w:top w:val="nil"/>
              <w:left w:val="single" w:sz="8" w:space="0" w:color="00000A"/>
              <w:bottom w:val="single" w:sz="4" w:space="0" w:color="00000A"/>
              <w:insideH w:val="single" w:sz="4" w:space="0" w:color="00000A"/>
              <w:right w:val="single" w:sz="4" w:space="0" w:color="00000A"/>
              <w:insideV w:val="single" w:sz="4" w:space="0" w:color="00000A"/>
            </w:tcBorders>
            <w:shd w:fill="FFFFFF" w:val="clear"/>
            <w:tcMar>
              <w:left w:w="20" w:type="dxa"/>
            </w:tcMar>
          </w:tcPr>
          <w:p>
            <w:pPr>
              <w:pStyle w:val="Normal"/>
              <w:spacing w:lineRule="auto" w:line="240" w:before="0" w:after="0"/>
              <w:jc w:val="center"/>
              <w:rPr>
                <w:rFonts w:eastAsia="Times New Roman" w:cs="Arial"/>
                <w:b/>
                <w:bCs/>
                <w:sz w:val="20"/>
                <w:szCs w:val="20"/>
                <w:lang w:val="de-AT" w:eastAsia="de-AT"/>
              </w:rPr>
            </w:pPr>
            <w:r>
              <w:rPr>
                <w:rFonts w:eastAsia="Times New Roman" w:cs="Arial"/>
                <w:b/>
                <w:bCs/>
                <w:sz w:val="20"/>
                <w:szCs w:val="20"/>
                <w:lang w:val="de-AT" w:eastAsia="de-AT"/>
              </w:rPr>
              <w:t>2007</w:t>
            </w:r>
          </w:p>
        </w:tc>
        <w:tc>
          <w:tcPr>
            <w:tcW w:w="1160" w:type="dxa"/>
            <w:tcBorders>
              <w:top w:val="nil"/>
              <w:left w:val="nil"/>
              <w:bottom w:val="single" w:sz="4" w:space="0" w:color="00000A"/>
              <w:insideH w:val="single" w:sz="4" w:space="0" w:color="00000A"/>
              <w:right w:val="single" w:sz="4" w:space="0" w:color="00000A"/>
              <w:insideV w:val="single" w:sz="4" w:space="0" w:color="00000A"/>
            </w:tcBorders>
            <w:shd w:fill="FFFFFF" w:val="clear"/>
            <w:tcMar>
              <w:left w:w="70" w:type="dxa"/>
            </w:tcMar>
          </w:tcPr>
          <w:p>
            <w:pPr>
              <w:pStyle w:val="Normal"/>
              <w:spacing w:lineRule="auto" w:line="240" w:before="0" w:after="0"/>
              <w:jc w:val="center"/>
              <w:rPr>
                <w:rFonts w:eastAsia="Times New Roman" w:cs="Arial"/>
                <w:sz w:val="20"/>
                <w:szCs w:val="20"/>
                <w:lang w:val="de-AT" w:eastAsia="de-AT"/>
              </w:rPr>
            </w:pPr>
            <w:r>
              <w:rPr>
                <w:rFonts w:eastAsia="Times New Roman" w:cs="Arial"/>
                <w:sz w:val="20"/>
                <w:szCs w:val="20"/>
                <w:lang w:val="de-AT" w:eastAsia="de-AT"/>
              </w:rPr>
              <w:t>28.988</w:t>
            </w:r>
          </w:p>
        </w:tc>
        <w:tc>
          <w:tcPr>
            <w:tcW w:w="1234" w:type="dxa"/>
            <w:tcBorders>
              <w:top w:val="nil"/>
              <w:left w:val="nil"/>
              <w:bottom w:val="single" w:sz="4" w:space="0" w:color="00000A"/>
              <w:insideH w:val="single" w:sz="4" w:space="0" w:color="00000A"/>
              <w:right w:val="single" w:sz="4" w:space="0" w:color="00000A"/>
              <w:insideV w:val="single" w:sz="4" w:space="0" w:color="00000A"/>
            </w:tcBorders>
            <w:shd w:fill="FFFFFF" w:val="clear"/>
            <w:tcMar>
              <w:left w:w="70" w:type="dxa"/>
            </w:tcMar>
          </w:tcPr>
          <w:p>
            <w:pPr>
              <w:pStyle w:val="Normal"/>
              <w:spacing w:lineRule="auto" w:line="240" w:before="0" w:after="0"/>
              <w:jc w:val="center"/>
              <w:rPr>
                <w:rFonts w:eastAsia="Times New Roman" w:cs="Arial"/>
                <w:sz w:val="20"/>
                <w:szCs w:val="20"/>
                <w:lang w:val="de-AT" w:eastAsia="de-AT"/>
              </w:rPr>
            </w:pPr>
            <w:r>
              <w:rPr>
                <w:rFonts w:eastAsia="Times New Roman" w:cs="Arial"/>
                <w:sz w:val="20"/>
                <w:szCs w:val="20"/>
                <w:lang w:val="de-AT" w:eastAsia="de-AT"/>
              </w:rPr>
              <w:t>34.323</w:t>
            </w:r>
          </w:p>
        </w:tc>
        <w:tc>
          <w:tcPr>
            <w:tcW w:w="1773" w:type="dxa"/>
            <w:tcBorders>
              <w:top w:val="nil"/>
              <w:left w:val="nil"/>
              <w:bottom w:val="single" w:sz="4" w:space="0" w:color="00000A"/>
              <w:insideH w:val="single" w:sz="4" w:space="0" w:color="00000A"/>
              <w:right w:val="single" w:sz="8" w:space="0" w:color="00000A"/>
              <w:insideV w:val="single" w:sz="8" w:space="0" w:color="00000A"/>
            </w:tcBorders>
            <w:shd w:fill="FFFFFF" w:val="clear"/>
            <w:tcMar>
              <w:left w:w="70" w:type="dxa"/>
            </w:tcMar>
          </w:tcPr>
          <w:p>
            <w:pPr>
              <w:pStyle w:val="Normal"/>
              <w:spacing w:lineRule="auto" w:line="240" w:before="0" w:after="0"/>
              <w:jc w:val="center"/>
              <w:rPr>
                <w:rFonts w:eastAsia="Times New Roman" w:cs="Arial"/>
                <w:sz w:val="20"/>
                <w:szCs w:val="20"/>
                <w:lang w:val="de-AT" w:eastAsia="de-AT"/>
              </w:rPr>
            </w:pPr>
            <w:r>
              <w:rPr>
                <w:rFonts w:eastAsia="Times New Roman" w:cs="Arial"/>
                <w:sz w:val="20"/>
                <w:szCs w:val="20"/>
                <w:lang w:val="de-AT" w:eastAsia="de-AT"/>
              </w:rPr>
              <w:t>63.311</w:t>
            </w:r>
          </w:p>
        </w:tc>
      </w:tr>
      <w:tr>
        <w:trPr>
          <w:trHeight w:val="264" w:hRule="atLeast"/>
          <w:cantSplit w:val="false"/>
        </w:trPr>
        <w:tc>
          <w:tcPr>
            <w:tcW w:w="787" w:type="dxa"/>
            <w:tcBorders>
              <w:top w:val="nil"/>
              <w:left w:val="single" w:sz="8" w:space="0" w:color="00000A"/>
              <w:bottom w:val="single" w:sz="4" w:space="0" w:color="00000A"/>
              <w:insideH w:val="single" w:sz="4" w:space="0" w:color="00000A"/>
              <w:right w:val="single" w:sz="4" w:space="0" w:color="00000A"/>
              <w:insideV w:val="single" w:sz="4" w:space="0" w:color="00000A"/>
            </w:tcBorders>
            <w:shd w:fill="FFFFFF" w:val="clear"/>
            <w:tcMar>
              <w:left w:w="20" w:type="dxa"/>
            </w:tcMar>
          </w:tcPr>
          <w:p>
            <w:pPr>
              <w:pStyle w:val="Normal"/>
              <w:spacing w:lineRule="auto" w:line="240" w:before="0" w:after="0"/>
              <w:jc w:val="center"/>
              <w:rPr>
                <w:rFonts w:eastAsia="Times New Roman" w:cs="Arial"/>
                <w:b/>
                <w:bCs/>
                <w:sz w:val="20"/>
                <w:szCs w:val="20"/>
                <w:lang w:val="de-AT" w:eastAsia="de-AT"/>
              </w:rPr>
            </w:pPr>
            <w:r>
              <w:rPr>
                <w:rFonts w:eastAsia="Times New Roman" w:cs="Arial"/>
                <w:b/>
                <w:bCs/>
                <w:sz w:val="20"/>
                <w:szCs w:val="20"/>
                <w:lang w:val="de-AT" w:eastAsia="de-AT"/>
              </w:rPr>
              <w:t>2008</w:t>
            </w:r>
          </w:p>
        </w:tc>
        <w:tc>
          <w:tcPr>
            <w:tcW w:w="1160" w:type="dxa"/>
            <w:tcBorders>
              <w:top w:val="nil"/>
              <w:left w:val="nil"/>
              <w:bottom w:val="single" w:sz="4" w:space="0" w:color="00000A"/>
              <w:insideH w:val="single" w:sz="4" w:space="0" w:color="00000A"/>
              <w:right w:val="single" w:sz="4" w:space="0" w:color="00000A"/>
              <w:insideV w:val="single" w:sz="4" w:space="0" w:color="00000A"/>
            </w:tcBorders>
            <w:shd w:fill="FFFFFF" w:val="clear"/>
            <w:tcMar>
              <w:left w:w="70" w:type="dxa"/>
            </w:tcMar>
          </w:tcPr>
          <w:p>
            <w:pPr>
              <w:pStyle w:val="Normal"/>
              <w:spacing w:lineRule="auto" w:line="240" w:before="0" w:after="0"/>
              <w:jc w:val="center"/>
              <w:rPr>
                <w:rFonts w:eastAsia="Times New Roman" w:cs="Arial"/>
                <w:sz w:val="20"/>
                <w:szCs w:val="20"/>
                <w:lang w:val="de-AT" w:eastAsia="de-AT"/>
              </w:rPr>
            </w:pPr>
            <w:r>
              <w:rPr>
                <w:rFonts w:eastAsia="Times New Roman" w:cs="Arial"/>
                <w:sz w:val="20"/>
                <w:szCs w:val="20"/>
                <w:lang w:val="de-AT" w:eastAsia="de-AT"/>
              </w:rPr>
              <w:t>24.558</w:t>
            </w:r>
          </w:p>
        </w:tc>
        <w:tc>
          <w:tcPr>
            <w:tcW w:w="1234" w:type="dxa"/>
            <w:tcBorders>
              <w:top w:val="nil"/>
              <w:left w:val="nil"/>
              <w:bottom w:val="single" w:sz="4" w:space="0" w:color="00000A"/>
              <w:insideH w:val="single" w:sz="4" w:space="0" w:color="00000A"/>
              <w:right w:val="single" w:sz="4" w:space="0" w:color="00000A"/>
              <w:insideV w:val="single" w:sz="4" w:space="0" w:color="00000A"/>
            </w:tcBorders>
            <w:shd w:fill="FFFFFF" w:val="clear"/>
            <w:tcMar>
              <w:left w:w="70" w:type="dxa"/>
            </w:tcMar>
          </w:tcPr>
          <w:p>
            <w:pPr>
              <w:pStyle w:val="Normal"/>
              <w:spacing w:lineRule="auto" w:line="240" w:before="0" w:after="0"/>
              <w:jc w:val="center"/>
              <w:rPr>
                <w:rFonts w:eastAsia="Times New Roman" w:cs="Arial"/>
                <w:sz w:val="20"/>
                <w:szCs w:val="20"/>
                <w:lang w:val="de-AT" w:eastAsia="de-AT"/>
              </w:rPr>
            </w:pPr>
            <w:r>
              <w:rPr>
                <w:rFonts w:eastAsia="Times New Roman" w:cs="Arial"/>
                <w:sz w:val="20"/>
                <w:szCs w:val="20"/>
                <w:lang w:val="de-AT" w:eastAsia="de-AT"/>
              </w:rPr>
              <w:t>29.858</w:t>
            </w:r>
          </w:p>
        </w:tc>
        <w:tc>
          <w:tcPr>
            <w:tcW w:w="1773" w:type="dxa"/>
            <w:tcBorders>
              <w:top w:val="nil"/>
              <w:left w:val="nil"/>
              <w:bottom w:val="single" w:sz="4" w:space="0" w:color="00000A"/>
              <w:insideH w:val="single" w:sz="4" w:space="0" w:color="00000A"/>
              <w:right w:val="single" w:sz="8" w:space="0" w:color="00000A"/>
              <w:insideV w:val="single" w:sz="8" w:space="0" w:color="00000A"/>
            </w:tcBorders>
            <w:shd w:fill="FFFFFF" w:val="clear"/>
            <w:tcMar>
              <w:left w:w="70" w:type="dxa"/>
            </w:tcMar>
          </w:tcPr>
          <w:p>
            <w:pPr>
              <w:pStyle w:val="Normal"/>
              <w:spacing w:lineRule="auto" w:line="240" w:before="0" w:after="0"/>
              <w:jc w:val="center"/>
              <w:rPr>
                <w:rFonts w:eastAsia="Times New Roman" w:cs="Arial"/>
                <w:sz w:val="20"/>
                <w:szCs w:val="20"/>
                <w:lang w:val="de-AT" w:eastAsia="de-AT"/>
              </w:rPr>
            </w:pPr>
            <w:r>
              <w:rPr>
                <w:rFonts w:eastAsia="Times New Roman" w:cs="Arial"/>
                <w:sz w:val="20"/>
                <w:szCs w:val="20"/>
                <w:lang w:val="de-AT" w:eastAsia="de-AT"/>
              </w:rPr>
              <w:t>54.416</w:t>
            </w:r>
          </w:p>
        </w:tc>
      </w:tr>
      <w:tr>
        <w:trPr>
          <w:trHeight w:val="264" w:hRule="atLeast"/>
          <w:cantSplit w:val="false"/>
        </w:trPr>
        <w:tc>
          <w:tcPr>
            <w:tcW w:w="787" w:type="dxa"/>
            <w:tcBorders>
              <w:top w:val="nil"/>
              <w:left w:val="single" w:sz="8" w:space="0" w:color="00000A"/>
              <w:bottom w:val="single" w:sz="4" w:space="0" w:color="00000A"/>
              <w:insideH w:val="single" w:sz="4" w:space="0" w:color="00000A"/>
              <w:right w:val="single" w:sz="4" w:space="0" w:color="00000A"/>
              <w:insideV w:val="single" w:sz="4" w:space="0" w:color="00000A"/>
            </w:tcBorders>
            <w:shd w:fill="FFFFFF" w:val="clear"/>
            <w:tcMar>
              <w:left w:w="20" w:type="dxa"/>
            </w:tcMar>
          </w:tcPr>
          <w:p>
            <w:pPr>
              <w:pStyle w:val="Normal"/>
              <w:spacing w:lineRule="auto" w:line="240" w:before="0" w:after="0"/>
              <w:jc w:val="center"/>
              <w:rPr>
                <w:rFonts w:eastAsia="Times New Roman" w:cs="Arial"/>
                <w:b/>
                <w:bCs/>
                <w:sz w:val="20"/>
                <w:szCs w:val="20"/>
                <w:lang w:val="de-AT" w:eastAsia="de-AT"/>
              </w:rPr>
            </w:pPr>
            <w:r>
              <w:rPr>
                <w:rFonts w:eastAsia="Times New Roman" w:cs="Arial"/>
                <w:b/>
                <w:bCs/>
                <w:sz w:val="20"/>
                <w:szCs w:val="20"/>
                <w:lang w:val="de-AT" w:eastAsia="de-AT"/>
              </w:rPr>
              <w:t>2009</w:t>
            </w:r>
          </w:p>
        </w:tc>
        <w:tc>
          <w:tcPr>
            <w:tcW w:w="1160" w:type="dxa"/>
            <w:tcBorders>
              <w:top w:val="nil"/>
              <w:left w:val="nil"/>
              <w:bottom w:val="single" w:sz="4" w:space="0" w:color="00000A"/>
              <w:insideH w:val="single" w:sz="4" w:space="0" w:color="00000A"/>
              <w:right w:val="single" w:sz="4" w:space="0" w:color="00000A"/>
              <w:insideV w:val="single" w:sz="4" w:space="0" w:color="00000A"/>
            </w:tcBorders>
            <w:shd w:fill="FFFFFF" w:val="clear"/>
            <w:tcMar>
              <w:left w:w="70" w:type="dxa"/>
            </w:tcMar>
          </w:tcPr>
          <w:p>
            <w:pPr>
              <w:pStyle w:val="Normal"/>
              <w:spacing w:lineRule="auto" w:line="240" w:before="0" w:after="0"/>
              <w:jc w:val="center"/>
              <w:rPr>
                <w:rFonts w:eastAsia="Times New Roman" w:cs="Arial"/>
                <w:sz w:val="20"/>
                <w:szCs w:val="20"/>
                <w:lang w:val="de-AT" w:eastAsia="de-AT"/>
              </w:rPr>
            </w:pPr>
            <w:r>
              <w:rPr>
                <w:rFonts w:eastAsia="Times New Roman" w:cs="Arial"/>
                <w:sz w:val="20"/>
                <w:szCs w:val="20"/>
                <w:lang w:val="de-AT" w:eastAsia="de-AT"/>
              </w:rPr>
              <w:t>25.706</w:t>
            </w:r>
          </w:p>
        </w:tc>
        <w:tc>
          <w:tcPr>
            <w:tcW w:w="1234" w:type="dxa"/>
            <w:tcBorders>
              <w:top w:val="nil"/>
              <w:left w:val="nil"/>
              <w:bottom w:val="single" w:sz="4" w:space="0" w:color="00000A"/>
              <w:insideH w:val="single" w:sz="4" w:space="0" w:color="00000A"/>
              <w:right w:val="single" w:sz="4" w:space="0" w:color="00000A"/>
              <w:insideV w:val="single" w:sz="4" w:space="0" w:color="00000A"/>
            </w:tcBorders>
            <w:shd w:fill="FFFFFF" w:val="clear"/>
            <w:tcMar>
              <w:left w:w="70" w:type="dxa"/>
            </w:tcMar>
          </w:tcPr>
          <w:p>
            <w:pPr>
              <w:pStyle w:val="Normal"/>
              <w:spacing w:lineRule="auto" w:line="240" w:before="0" w:after="0"/>
              <w:jc w:val="center"/>
              <w:rPr>
                <w:rFonts w:eastAsia="Times New Roman" w:cs="Arial"/>
                <w:sz w:val="20"/>
                <w:szCs w:val="20"/>
                <w:lang w:val="de-AT" w:eastAsia="de-AT"/>
              </w:rPr>
            </w:pPr>
            <w:r>
              <w:rPr>
                <w:rFonts w:eastAsia="Times New Roman" w:cs="Arial"/>
                <w:sz w:val="20"/>
                <w:szCs w:val="20"/>
                <w:lang w:val="de-AT" w:eastAsia="de-AT"/>
              </w:rPr>
              <w:t>32.499</w:t>
            </w:r>
          </w:p>
        </w:tc>
        <w:tc>
          <w:tcPr>
            <w:tcW w:w="1773" w:type="dxa"/>
            <w:tcBorders>
              <w:top w:val="nil"/>
              <w:left w:val="nil"/>
              <w:bottom w:val="single" w:sz="4" w:space="0" w:color="00000A"/>
              <w:insideH w:val="single" w:sz="4" w:space="0" w:color="00000A"/>
              <w:right w:val="single" w:sz="8" w:space="0" w:color="00000A"/>
              <w:insideV w:val="single" w:sz="8" w:space="0" w:color="00000A"/>
            </w:tcBorders>
            <w:shd w:fill="FFFFFF" w:val="clear"/>
            <w:tcMar>
              <w:left w:w="70" w:type="dxa"/>
            </w:tcMar>
          </w:tcPr>
          <w:p>
            <w:pPr>
              <w:pStyle w:val="Normal"/>
              <w:spacing w:lineRule="auto" w:line="240" w:before="0" w:after="0"/>
              <w:jc w:val="center"/>
              <w:rPr>
                <w:rFonts w:eastAsia="Times New Roman" w:cs="Arial"/>
                <w:sz w:val="20"/>
                <w:szCs w:val="20"/>
                <w:lang w:val="de-AT" w:eastAsia="de-AT"/>
              </w:rPr>
            </w:pPr>
            <w:r>
              <w:rPr>
                <w:rFonts w:eastAsia="Times New Roman" w:cs="Arial"/>
                <w:sz w:val="20"/>
                <w:szCs w:val="20"/>
                <w:lang w:val="de-AT" w:eastAsia="de-AT"/>
              </w:rPr>
              <w:t>58.205</w:t>
            </w:r>
          </w:p>
        </w:tc>
      </w:tr>
      <w:tr>
        <w:trPr>
          <w:trHeight w:val="264" w:hRule="atLeast"/>
          <w:cantSplit w:val="false"/>
        </w:trPr>
        <w:tc>
          <w:tcPr>
            <w:tcW w:w="787" w:type="dxa"/>
            <w:tcBorders>
              <w:top w:val="nil"/>
              <w:left w:val="single" w:sz="8" w:space="0" w:color="00000A"/>
              <w:bottom w:val="single" w:sz="4" w:space="0" w:color="00000A"/>
              <w:insideH w:val="single" w:sz="4" w:space="0" w:color="00000A"/>
              <w:right w:val="single" w:sz="4" w:space="0" w:color="00000A"/>
              <w:insideV w:val="single" w:sz="4" w:space="0" w:color="00000A"/>
            </w:tcBorders>
            <w:shd w:fill="FFFFFF" w:val="clear"/>
            <w:tcMar>
              <w:left w:w="20" w:type="dxa"/>
            </w:tcMar>
          </w:tcPr>
          <w:p>
            <w:pPr>
              <w:pStyle w:val="Normal"/>
              <w:spacing w:lineRule="auto" w:line="240" w:before="0" w:after="0"/>
              <w:jc w:val="center"/>
              <w:rPr>
                <w:rFonts w:eastAsia="Times New Roman" w:cs="Arial"/>
                <w:b/>
                <w:bCs/>
                <w:sz w:val="20"/>
                <w:szCs w:val="20"/>
                <w:lang w:val="de-AT" w:eastAsia="de-AT"/>
              </w:rPr>
            </w:pPr>
            <w:r>
              <w:rPr>
                <w:rFonts w:eastAsia="Times New Roman" w:cs="Arial"/>
                <w:b/>
                <w:bCs/>
                <w:sz w:val="20"/>
                <w:szCs w:val="20"/>
                <w:lang w:val="de-AT" w:eastAsia="de-AT"/>
              </w:rPr>
              <w:t>2010</w:t>
            </w:r>
          </w:p>
        </w:tc>
        <w:tc>
          <w:tcPr>
            <w:tcW w:w="1160" w:type="dxa"/>
            <w:tcBorders>
              <w:top w:val="nil"/>
              <w:left w:val="nil"/>
              <w:bottom w:val="single" w:sz="4" w:space="0" w:color="00000A"/>
              <w:insideH w:val="single" w:sz="4" w:space="0" w:color="00000A"/>
              <w:right w:val="single" w:sz="4" w:space="0" w:color="00000A"/>
              <w:insideV w:val="single" w:sz="4" w:space="0" w:color="00000A"/>
            </w:tcBorders>
            <w:shd w:fill="FFFFFF" w:val="clear"/>
            <w:tcMar>
              <w:left w:w="70" w:type="dxa"/>
            </w:tcMar>
          </w:tcPr>
          <w:p>
            <w:pPr>
              <w:pStyle w:val="Normal"/>
              <w:spacing w:lineRule="auto" w:line="240" w:before="0" w:after="0"/>
              <w:jc w:val="center"/>
              <w:rPr>
                <w:rFonts w:eastAsia="Times New Roman" w:cs="Arial"/>
                <w:sz w:val="20"/>
                <w:szCs w:val="20"/>
                <w:lang w:val="de-AT" w:eastAsia="de-AT"/>
              </w:rPr>
            </w:pPr>
            <w:r>
              <w:rPr>
                <w:rFonts w:eastAsia="Times New Roman" w:cs="Arial"/>
                <w:sz w:val="20"/>
                <w:szCs w:val="20"/>
                <w:lang w:val="de-AT" w:eastAsia="de-AT"/>
              </w:rPr>
              <w:t>31.738</w:t>
            </w:r>
          </w:p>
        </w:tc>
        <w:tc>
          <w:tcPr>
            <w:tcW w:w="1234" w:type="dxa"/>
            <w:tcBorders>
              <w:top w:val="nil"/>
              <w:left w:val="nil"/>
              <w:bottom w:val="single" w:sz="4" w:space="0" w:color="00000A"/>
              <w:insideH w:val="single" w:sz="4" w:space="0" w:color="00000A"/>
              <w:right w:val="single" w:sz="4" w:space="0" w:color="00000A"/>
              <w:insideV w:val="single" w:sz="4" w:space="0" w:color="00000A"/>
            </w:tcBorders>
            <w:shd w:fill="FFFFFF" w:val="clear"/>
            <w:tcMar>
              <w:left w:w="70" w:type="dxa"/>
            </w:tcMar>
          </w:tcPr>
          <w:p>
            <w:pPr>
              <w:pStyle w:val="Normal"/>
              <w:spacing w:lineRule="auto" w:line="240" w:before="0" w:after="0"/>
              <w:jc w:val="center"/>
              <w:rPr>
                <w:rFonts w:eastAsia="Times New Roman" w:cs="Arial"/>
                <w:sz w:val="20"/>
                <w:szCs w:val="20"/>
                <w:lang w:val="de-AT" w:eastAsia="de-AT"/>
              </w:rPr>
            </w:pPr>
            <w:r>
              <w:rPr>
                <w:rFonts w:eastAsia="Times New Roman" w:cs="Arial"/>
                <w:sz w:val="20"/>
                <w:szCs w:val="20"/>
                <w:lang w:val="de-AT" w:eastAsia="de-AT"/>
              </w:rPr>
              <w:t>42.165</w:t>
            </w:r>
          </w:p>
        </w:tc>
        <w:tc>
          <w:tcPr>
            <w:tcW w:w="1773" w:type="dxa"/>
            <w:tcBorders>
              <w:top w:val="nil"/>
              <w:left w:val="nil"/>
              <w:bottom w:val="single" w:sz="4" w:space="0" w:color="00000A"/>
              <w:insideH w:val="single" w:sz="4" w:space="0" w:color="00000A"/>
              <w:right w:val="single" w:sz="8" w:space="0" w:color="00000A"/>
              <w:insideV w:val="single" w:sz="8" w:space="0" w:color="00000A"/>
            </w:tcBorders>
            <w:shd w:fill="FFFFFF" w:val="clear"/>
            <w:tcMar>
              <w:left w:w="70" w:type="dxa"/>
            </w:tcMar>
          </w:tcPr>
          <w:p>
            <w:pPr>
              <w:pStyle w:val="Normal"/>
              <w:spacing w:lineRule="auto" w:line="240" w:before="0" w:after="0"/>
              <w:jc w:val="center"/>
              <w:rPr>
                <w:rFonts w:eastAsia="Times New Roman" w:cs="Arial"/>
                <w:sz w:val="20"/>
                <w:szCs w:val="20"/>
                <w:lang w:val="de-AT" w:eastAsia="de-AT"/>
              </w:rPr>
            </w:pPr>
            <w:r>
              <w:rPr>
                <w:rFonts w:eastAsia="Times New Roman" w:cs="Arial"/>
                <w:sz w:val="20"/>
                <w:szCs w:val="20"/>
                <w:lang w:val="de-AT" w:eastAsia="de-AT"/>
              </w:rPr>
              <w:t>73.903</w:t>
            </w:r>
          </w:p>
        </w:tc>
      </w:tr>
      <w:tr>
        <w:trPr>
          <w:trHeight w:val="264" w:hRule="atLeast"/>
          <w:cantSplit w:val="false"/>
        </w:trPr>
        <w:tc>
          <w:tcPr>
            <w:tcW w:w="787" w:type="dxa"/>
            <w:tcBorders>
              <w:top w:val="nil"/>
              <w:left w:val="single" w:sz="8" w:space="0" w:color="00000A"/>
              <w:bottom w:val="single" w:sz="4" w:space="0" w:color="00000A"/>
              <w:insideH w:val="single" w:sz="4" w:space="0" w:color="00000A"/>
              <w:right w:val="single" w:sz="4" w:space="0" w:color="00000A"/>
              <w:insideV w:val="single" w:sz="4" w:space="0" w:color="00000A"/>
            </w:tcBorders>
            <w:shd w:fill="FFFFFF" w:val="clear"/>
            <w:tcMar>
              <w:left w:w="20" w:type="dxa"/>
            </w:tcMar>
          </w:tcPr>
          <w:p>
            <w:pPr>
              <w:pStyle w:val="Normal"/>
              <w:spacing w:lineRule="auto" w:line="240" w:before="0" w:after="0"/>
              <w:jc w:val="center"/>
              <w:rPr>
                <w:rFonts w:eastAsia="Times New Roman" w:cs="Arial"/>
                <w:b/>
                <w:bCs/>
                <w:sz w:val="20"/>
                <w:szCs w:val="20"/>
                <w:lang w:val="de-AT" w:eastAsia="de-AT"/>
              </w:rPr>
            </w:pPr>
            <w:r>
              <w:rPr>
                <w:rFonts w:eastAsia="Times New Roman" w:cs="Arial"/>
                <w:b/>
                <w:bCs/>
                <w:sz w:val="20"/>
                <w:szCs w:val="20"/>
                <w:lang w:val="de-AT" w:eastAsia="de-AT"/>
              </w:rPr>
              <w:t>2011</w:t>
            </w:r>
          </w:p>
        </w:tc>
        <w:tc>
          <w:tcPr>
            <w:tcW w:w="1160" w:type="dxa"/>
            <w:tcBorders>
              <w:top w:val="nil"/>
              <w:left w:val="nil"/>
              <w:bottom w:val="single" w:sz="4" w:space="0" w:color="00000A"/>
              <w:insideH w:val="single" w:sz="4" w:space="0" w:color="00000A"/>
              <w:right w:val="single" w:sz="4" w:space="0" w:color="00000A"/>
              <w:insideV w:val="single" w:sz="4" w:space="0" w:color="00000A"/>
            </w:tcBorders>
            <w:shd w:fill="FFFFFF" w:val="clear"/>
            <w:tcMar>
              <w:left w:w="70" w:type="dxa"/>
            </w:tcMar>
          </w:tcPr>
          <w:p>
            <w:pPr>
              <w:pStyle w:val="Normal"/>
              <w:spacing w:lineRule="auto" w:line="240" w:before="0" w:after="0"/>
              <w:jc w:val="center"/>
              <w:rPr>
                <w:rFonts w:eastAsia="Times New Roman" w:cs="Arial"/>
                <w:sz w:val="20"/>
                <w:szCs w:val="20"/>
                <w:lang w:val="de-AT" w:eastAsia="de-AT"/>
              </w:rPr>
            </w:pPr>
            <w:r>
              <w:rPr>
                <w:rFonts w:eastAsia="Times New Roman" w:cs="Arial"/>
                <w:sz w:val="20"/>
                <w:szCs w:val="20"/>
                <w:lang w:val="de-AT" w:eastAsia="de-AT"/>
              </w:rPr>
              <w:t>32.609</w:t>
            </w:r>
          </w:p>
        </w:tc>
        <w:tc>
          <w:tcPr>
            <w:tcW w:w="1234" w:type="dxa"/>
            <w:tcBorders>
              <w:top w:val="nil"/>
              <w:left w:val="nil"/>
              <w:bottom w:val="single" w:sz="4" w:space="0" w:color="00000A"/>
              <w:insideH w:val="single" w:sz="4" w:space="0" w:color="00000A"/>
              <w:right w:val="single" w:sz="4" w:space="0" w:color="00000A"/>
              <w:insideV w:val="single" w:sz="4" w:space="0" w:color="00000A"/>
            </w:tcBorders>
            <w:shd w:fill="FFFFFF" w:val="clear"/>
            <w:tcMar>
              <w:left w:w="70" w:type="dxa"/>
            </w:tcMar>
          </w:tcPr>
          <w:p>
            <w:pPr>
              <w:pStyle w:val="Normal"/>
              <w:spacing w:lineRule="auto" w:line="240" w:before="0" w:after="0"/>
              <w:jc w:val="center"/>
              <w:rPr>
                <w:rFonts w:eastAsia="Times New Roman" w:cs="Arial"/>
                <w:sz w:val="20"/>
                <w:szCs w:val="20"/>
                <w:lang w:val="de-AT" w:eastAsia="de-AT"/>
              </w:rPr>
            </w:pPr>
            <w:r>
              <w:rPr>
                <w:rFonts w:eastAsia="Times New Roman" w:cs="Arial"/>
                <w:sz w:val="20"/>
                <w:szCs w:val="20"/>
                <w:lang w:val="de-AT" w:eastAsia="de-AT"/>
              </w:rPr>
              <w:t>41.020</w:t>
            </w:r>
          </w:p>
        </w:tc>
        <w:tc>
          <w:tcPr>
            <w:tcW w:w="1773" w:type="dxa"/>
            <w:tcBorders>
              <w:top w:val="nil"/>
              <w:left w:val="nil"/>
              <w:bottom w:val="single" w:sz="4" w:space="0" w:color="00000A"/>
              <w:insideH w:val="single" w:sz="4" w:space="0" w:color="00000A"/>
              <w:right w:val="single" w:sz="8" w:space="0" w:color="00000A"/>
              <w:insideV w:val="single" w:sz="8" w:space="0" w:color="00000A"/>
            </w:tcBorders>
            <w:shd w:fill="FFFFFF" w:val="clear"/>
            <w:tcMar>
              <w:left w:w="70" w:type="dxa"/>
            </w:tcMar>
          </w:tcPr>
          <w:p>
            <w:pPr>
              <w:pStyle w:val="Normal"/>
              <w:spacing w:lineRule="auto" w:line="240" w:before="0" w:after="0"/>
              <w:jc w:val="center"/>
              <w:rPr>
                <w:rFonts w:eastAsia="Times New Roman" w:cs="Arial"/>
                <w:sz w:val="20"/>
                <w:szCs w:val="20"/>
                <w:lang w:val="de-AT" w:eastAsia="de-AT"/>
              </w:rPr>
            </w:pPr>
            <w:r>
              <w:rPr>
                <w:rFonts w:eastAsia="Times New Roman" w:cs="Arial"/>
                <w:sz w:val="20"/>
                <w:szCs w:val="20"/>
                <w:lang w:val="de-AT" w:eastAsia="de-AT"/>
              </w:rPr>
              <w:t>73.629</w:t>
            </w:r>
          </w:p>
        </w:tc>
      </w:tr>
      <w:tr>
        <w:trPr>
          <w:trHeight w:val="264" w:hRule="atLeast"/>
          <w:cantSplit w:val="false"/>
        </w:trPr>
        <w:tc>
          <w:tcPr>
            <w:tcW w:w="787" w:type="dxa"/>
            <w:tcBorders>
              <w:top w:val="nil"/>
              <w:left w:val="single" w:sz="8" w:space="0" w:color="00000A"/>
              <w:bottom w:val="single" w:sz="4" w:space="0" w:color="00000A"/>
              <w:insideH w:val="single" w:sz="4" w:space="0" w:color="00000A"/>
              <w:right w:val="single" w:sz="4" w:space="0" w:color="00000A"/>
              <w:insideV w:val="single" w:sz="4" w:space="0" w:color="00000A"/>
            </w:tcBorders>
            <w:shd w:fill="FFFFFF" w:val="clear"/>
            <w:tcMar>
              <w:left w:w="20" w:type="dxa"/>
            </w:tcMar>
          </w:tcPr>
          <w:p>
            <w:pPr>
              <w:pStyle w:val="Normal"/>
              <w:spacing w:lineRule="auto" w:line="240" w:before="0" w:after="0"/>
              <w:jc w:val="center"/>
              <w:rPr>
                <w:rFonts w:eastAsia="Times New Roman" w:cs="Arial"/>
                <w:b/>
                <w:bCs/>
                <w:sz w:val="20"/>
                <w:szCs w:val="20"/>
                <w:lang w:val="de-AT" w:eastAsia="de-AT"/>
              </w:rPr>
            </w:pPr>
            <w:r>
              <w:rPr>
                <w:rFonts w:eastAsia="Times New Roman" w:cs="Arial"/>
                <w:b/>
                <w:bCs/>
                <w:sz w:val="20"/>
                <w:szCs w:val="20"/>
                <w:lang w:val="de-AT" w:eastAsia="de-AT"/>
              </w:rPr>
              <w:t>2012</w:t>
            </w:r>
          </w:p>
        </w:tc>
        <w:tc>
          <w:tcPr>
            <w:tcW w:w="1160" w:type="dxa"/>
            <w:tcBorders>
              <w:top w:val="nil"/>
              <w:left w:val="nil"/>
              <w:bottom w:val="single" w:sz="4" w:space="0" w:color="00000A"/>
              <w:insideH w:val="single" w:sz="4" w:space="0" w:color="00000A"/>
              <w:right w:val="single" w:sz="4" w:space="0" w:color="00000A"/>
              <w:insideV w:val="single" w:sz="4" w:space="0" w:color="00000A"/>
            </w:tcBorders>
            <w:shd w:fill="FFFFFF" w:val="clear"/>
            <w:tcMar>
              <w:left w:w="70" w:type="dxa"/>
            </w:tcMar>
          </w:tcPr>
          <w:p>
            <w:pPr>
              <w:pStyle w:val="Normal"/>
              <w:spacing w:lineRule="auto" w:line="240" w:before="0" w:after="0"/>
              <w:jc w:val="center"/>
              <w:rPr>
                <w:rFonts w:eastAsia="Times New Roman" w:cs="Arial"/>
                <w:sz w:val="20"/>
                <w:szCs w:val="20"/>
                <w:lang w:val="de-AT" w:eastAsia="de-AT"/>
              </w:rPr>
            </w:pPr>
            <w:r>
              <w:rPr>
                <w:rFonts w:eastAsia="Times New Roman" w:cs="Arial"/>
                <w:sz w:val="20"/>
                <w:szCs w:val="20"/>
                <w:lang w:val="de-AT" w:eastAsia="de-AT"/>
              </w:rPr>
              <w:t>34.224</w:t>
            </w:r>
          </w:p>
        </w:tc>
        <w:tc>
          <w:tcPr>
            <w:tcW w:w="1234" w:type="dxa"/>
            <w:tcBorders>
              <w:top w:val="nil"/>
              <w:left w:val="nil"/>
              <w:bottom w:val="single" w:sz="4" w:space="0" w:color="00000A"/>
              <w:insideH w:val="single" w:sz="4" w:space="0" w:color="00000A"/>
              <w:right w:val="single" w:sz="4" w:space="0" w:color="00000A"/>
              <w:insideV w:val="single" w:sz="4" w:space="0" w:color="00000A"/>
            </w:tcBorders>
            <w:shd w:fill="FFFFFF" w:val="clear"/>
            <w:tcMar>
              <w:left w:w="70" w:type="dxa"/>
            </w:tcMar>
          </w:tcPr>
          <w:p>
            <w:pPr>
              <w:pStyle w:val="Normal"/>
              <w:spacing w:lineRule="auto" w:line="240" w:before="0" w:after="0"/>
              <w:jc w:val="center"/>
              <w:rPr>
                <w:rFonts w:eastAsia="Times New Roman" w:cs="Arial"/>
                <w:sz w:val="20"/>
                <w:szCs w:val="20"/>
                <w:lang w:val="de-AT" w:eastAsia="de-AT"/>
              </w:rPr>
            </w:pPr>
            <w:r>
              <w:rPr>
                <w:rFonts w:eastAsia="Times New Roman" w:cs="Arial"/>
                <w:sz w:val="20"/>
                <w:szCs w:val="20"/>
                <w:lang w:val="de-AT" w:eastAsia="de-AT"/>
              </w:rPr>
              <w:t>42.134</w:t>
            </w:r>
          </w:p>
        </w:tc>
        <w:tc>
          <w:tcPr>
            <w:tcW w:w="1773" w:type="dxa"/>
            <w:tcBorders>
              <w:top w:val="nil"/>
              <w:left w:val="nil"/>
              <w:bottom w:val="single" w:sz="4" w:space="0" w:color="00000A"/>
              <w:insideH w:val="single" w:sz="4" w:space="0" w:color="00000A"/>
              <w:right w:val="single" w:sz="8" w:space="0" w:color="00000A"/>
              <w:insideV w:val="single" w:sz="8" w:space="0" w:color="00000A"/>
            </w:tcBorders>
            <w:shd w:fill="FFFFFF" w:val="clear"/>
            <w:tcMar>
              <w:left w:w="70" w:type="dxa"/>
            </w:tcMar>
          </w:tcPr>
          <w:p>
            <w:pPr>
              <w:pStyle w:val="Normal"/>
              <w:spacing w:lineRule="auto" w:line="240" w:before="0" w:after="0"/>
              <w:jc w:val="center"/>
              <w:rPr>
                <w:rFonts w:eastAsia="Times New Roman" w:cs="Arial"/>
                <w:sz w:val="20"/>
                <w:szCs w:val="20"/>
                <w:lang w:val="de-AT" w:eastAsia="de-AT"/>
              </w:rPr>
            </w:pPr>
            <w:r>
              <w:rPr>
                <w:rFonts w:eastAsia="Times New Roman" w:cs="Arial"/>
                <w:sz w:val="20"/>
                <w:szCs w:val="20"/>
                <w:lang w:val="de-AT" w:eastAsia="de-AT"/>
              </w:rPr>
              <w:t>76.358</w:t>
            </w:r>
          </w:p>
        </w:tc>
      </w:tr>
      <w:tr>
        <w:trPr>
          <w:trHeight w:val="264" w:hRule="atLeast"/>
          <w:cantSplit w:val="false"/>
        </w:trPr>
        <w:tc>
          <w:tcPr>
            <w:tcW w:w="787" w:type="dxa"/>
            <w:tcBorders>
              <w:top w:val="nil"/>
              <w:left w:val="single" w:sz="8" w:space="0" w:color="00000A"/>
              <w:bottom w:val="single" w:sz="4" w:space="0" w:color="00000A"/>
              <w:insideH w:val="single" w:sz="4" w:space="0" w:color="00000A"/>
              <w:right w:val="single" w:sz="4" w:space="0" w:color="00000A"/>
              <w:insideV w:val="single" w:sz="4" w:space="0" w:color="00000A"/>
            </w:tcBorders>
            <w:shd w:fill="FFFFFF" w:val="clear"/>
            <w:tcMar>
              <w:left w:w="20" w:type="dxa"/>
            </w:tcMar>
          </w:tcPr>
          <w:p>
            <w:pPr>
              <w:pStyle w:val="Normal"/>
              <w:spacing w:lineRule="auto" w:line="240" w:before="0" w:after="0"/>
              <w:jc w:val="center"/>
              <w:rPr>
                <w:rFonts w:eastAsia="Times New Roman" w:cs="Arial"/>
                <w:b/>
                <w:bCs/>
                <w:sz w:val="20"/>
                <w:szCs w:val="20"/>
                <w:lang w:val="de-AT" w:eastAsia="de-AT"/>
              </w:rPr>
            </w:pPr>
            <w:r>
              <w:rPr>
                <w:rFonts w:eastAsia="Times New Roman" w:cs="Arial"/>
                <w:b/>
                <w:bCs/>
                <w:sz w:val="20"/>
                <w:szCs w:val="20"/>
                <w:lang w:val="de-AT" w:eastAsia="de-AT"/>
              </w:rPr>
              <w:t>2013</w:t>
            </w:r>
          </w:p>
        </w:tc>
        <w:tc>
          <w:tcPr>
            <w:tcW w:w="1160" w:type="dxa"/>
            <w:tcBorders>
              <w:top w:val="nil"/>
              <w:left w:val="nil"/>
              <w:bottom w:val="single" w:sz="4" w:space="0" w:color="00000A"/>
              <w:insideH w:val="single" w:sz="4" w:space="0" w:color="00000A"/>
              <w:right w:val="single" w:sz="4" w:space="0" w:color="00000A"/>
              <w:insideV w:val="single" w:sz="4" w:space="0" w:color="00000A"/>
            </w:tcBorders>
            <w:shd w:fill="FFFFFF" w:val="clear"/>
            <w:tcMar>
              <w:left w:w="70" w:type="dxa"/>
            </w:tcMar>
          </w:tcPr>
          <w:p>
            <w:pPr>
              <w:pStyle w:val="Normal"/>
              <w:spacing w:lineRule="auto" w:line="240" w:before="0" w:after="0"/>
              <w:jc w:val="center"/>
              <w:rPr>
                <w:rFonts w:eastAsia="Times New Roman" w:cs="Arial"/>
                <w:sz w:val="20"/>
                <w:szCs w:val="20"/>
                <w:lang w:val="de-AT" w:eastAsia="de-AT"/>
              </w:rPr>
            </w:pPr>
            <w:r>
              <w:rPr>
                <w:rFonts w:eastAsia="Times New Roman" w:cs="Arial"/>
                <w:sz w:val="20"/>
                <w:szCs w:val="20"/>
                <w:lang w:val="de-AT" w:eastAsia="de-AT"/>
              </w:rPr>
              <w:t>39.820</w:t>
            </w:r>
          </w:p>
        </w:tc>
        <w:tc>
          <w:tcPr>
            <w:tcW w:w="1234" w:type="dxa"/>
            <w:tcBorders>
              <w:top w:val="nil"/>
              <w:left w:val="nil"/>
              <w:bottom w:val="single" w:sz="4" w:space="0" w:color="00000A"/>
              <w:insideH w:val="single" w:sz="4" w:space="0" w:color="00000A"/>
              <w:right w:val="single" w:sz="4" w:space="0" w:color="00000A"/>
              <w:insideV w:val="single" w:sz="4" w:space="0" w:color="00000A"/>
            </w:tcBorders>
            <w:shd w:fill="FFFFFF" w:val="clear"/>
            <w:tcMar>
              <w:left w:w="70" w:type="dxa"/>
            </w:tcMar>
          </w:tcPr>
          <w:p>
            <w:pPr>
              <w:pStyle w:val="Normal"/>
              <w:spacing w:lineRule="auto" w:line="240" w:before="0" w:after="0"/>
              <w:jc w:val="center"/>
              <w:rPr>
                <w:rFonts w:eastAsia="Times New Roman" w:cs="Arial"/>
                <w:sz w:val="20"/>
                <w:szCs w:val="20"/>
                <w:lang w:val="de-AT" w:eastAsia="de-AT"/>
              </w:rPr>
            </w:pPr>
            <w:r>
              <w:rPr>
                <w:rFonts w:eastAsia="Times New Roman" w:cs="Arial"/>
                <w:sz w:val="20"/>
                <w:szCs w:val="20"/>
                <w:lang w:val="de-AT" w:eastAsia="de-AT"/>
              </w:rPr>
              <w:t>50.007</w:t>
            </w:r>
          </w:p>
        </w:tc>
        <w:tc>
          <w:tcPr>
            <w:tcW w:w="1773" w:type="dxa"/>
            <w:tcBorders>
              <w:top w:val="nil"/>
              <w:left w:val="nil"/>
              <w:bottom w:val="single" w:sz="4" w:space="0" w:color="00000A"/>
              <w:insideH w:val="single" w:sz="4" w:space="0" w:color="00000A"/>
              <w:right w:val="single" w:sz="8" w:space="0" w:color="00000A"/>
              <w:insideV w:val="single" w:sz="8" w:space="0" w:color="00000A"/>
            </w:tcBorders>
            <w:shd w:fill="FFFFFF" w:val="clear"/>
            <w:tcMar>
              <w:left w:w="70" w:type="dxa"/>
            </w:tcMar>
          </w:tcPr>
          <w:p>
            <w:pPr>
              <w:pStyle w:val="Normal"/>
              <w:spacing w:lineRule="auto" w:line="240" w:before="0" w:after="0"/>
              <w:jc w:val="center"/>
              <w:rPr>
                <w:rFonts w:eastAsia="Times New Roman" w:cs="Arial"/>
                <w:sz w:val="20"/>
                <w:szCs w:val="20"/>
                <w:lang w:val="de-AT" w:eastAsia="de-AT"/>
              </w:rPr>
            </w:pPr>
            <w:r>
              <w:rPr>
                <w:rFonts w:eastAsia="Times New Roman" w:cs="Arial"/>
                <w:sz w:val="20"/>
                <w:szCs w:val="20"/>
                <w:lang w:val="de-AT" w:eastAsia="de-AT"/>
              </w:rPr>
              <w:t>89.826</w:t>
            </w:r>
          </w:p>
        </w:tc>
      </w:tr>
      <w:tr>
        <w:trPr>
          <w:trHeight w:val="264" w:hRule="atLeast"/>
          <w:cantSplit w:val="false"/>
        </w:trPr>
        <w:tc>
          <w:tcPr>
            <w:tcW w:w="787" w:type="dxa"/>
            <w:tcBorders>
              <w:top w:val="nil"/>
              <w:left w:val="single" w:sz="8" w:space="0" w:color="00000A"/>
              <w:bottom w:val="single" w:sz="4" w:space="0" w:color="00000A"/>
              <w:insideH w:val="single" w:sz="4" w:space="0" w:color="00000A"/>
              <w:right w:val="single" w:sz="4" w:space="0" w:color="00000A"/>
              <w:insideV w:val="single" w:sz="4" w:space="0" w:color="00000A"/>
            </w:tcBorders>
            <w:shd w:fill="FFFFFF" w:val="clear"/>
            <w:tcMar>
              <w:left w:w="20" w:type="dxa"/>
            </w:tcMar>
          </w:tcPr>
          <w:p>
            <w:pPr>
              <w:pStyle w:val="Normal"/>
              <w:spacing w:lineRule="auto" w:line="240" w:before="0" w:after="0"/>
              <w:jc w:val="center"/>
              <w:rPr>
                <w:rFonts w:eastAsia="Times New Roman" w:cs="Arial"/>
                <w:b/>
                <w:bCs/>
                <w:sz w:val="20"/>
                <w:szCs w:val="20"/>
                <w:lang w:val="de-AT" w:eastAsia="de-AT"/>
              </w:rPr>
            </w:pPr>
            <w:r>
              <w:rPr>
                <w:rFonts w:eastAsia="Times New Roman" w:cs="Arial"/>
                <w:b/>
                <w:bCs/>
                <w:sz w:val="20"/>
                <w:szCs w:val="20"/>
                <w:lang w:val="de-AT" w:eastAsia="de-AT"/>
              </w:rPr>
              <w:t>2014</w:t>
            </w:r>
          </w:p>
        </w:tc>
        <w:tc>
          <w:tcPr>
            <w:tcW w:w="1160" w:type="dxa"/>
            <w:tcBorders>
              <w:top w:val="nil"/>
              <w:left w:val="nil"/>
              <w:bottom w:val="single" w:sz="4" w:space="0" w:color="00000A"/>
              <w:insideH w:val="single" w:sz="4" w:space="0" w:color="00000A"/>
              <w:right w:val="single" w:sz="4" w:space="0" w:color="00000A"/>
              <w:insideV w:val="single" w:sz="4" w:space="0" w:color="00000A"/>
            </w:tcBorders>
            <w:shd w:fill="FFFFFF" w:val="clear"/>
            <w:tcMar>
              <w:left w:w="70" w:type="dxa"/>
            </w:tcMar>
          </w:tcPr>
          <w:p>
            <w:pPr>
              <w:pStyle w:val="Normal"/>
              <w:spacing w:lineRule="auto" w:line="240" w:before="0" w:after="0"/>
              <w:jc w:val="center"/>
              <w:rPr>
                <w:rFonts w:eastAsia="Times New Roman" w:cs="Arial"/>
                <w:sz w:val="20"/>
                <w:szCs w:val="20"/>
                <w:lang w:val="de-AT" w:eastAsia="de-AT"/>
              </w:rPr>
            </w:pPr>
            <w:r>
              <w:rPr>
                <w:rFonts w:eastAsia="Times New Roman" w:cs="Arial"/>
                <w:sz w:val="20"/>
                <w:szCs w:val="20"/>
                <w:lang w:val="de-AT" w:eastAsia="de-AT"/>
              </w:rPr>
              <w:t>51.517</w:t>
            </w:r>
          </w:p>
        </w:tc>
        <w:tc>
          <w:tcPr>
            <w:tcW w:w="1234" w:type="dxa"/>
            <w:tcBorders>
              <w:top w:val="nil"/>
              <w:left w:val="nil"/>
              <w:bottom w:val="single" w:sz="4" w:space="0" w:color="00000A"/>
              <w:insideH w:val="single" w:sz="4" w:space="0" w:color="00000A"/>
              <w:right w:val="single" w:sz="4" w:space="0" w:color="00000A"/>
              <w:insideV w:val="single" w:sz="4" w:space="0" w:color="00000A"/>
            </w:tcBorders>
            <w:shd w:fill="FFFFFF" w:val="clear"/>
            <w:tcMar>
              <w:left w:w="70" w:type="dxa"/>
            </w:tcMar>
          </w:tcPr>
          <w:p>
            <w:pPr>
              <w:pStyle w:val="Normal"/>
              <w:spacing w:lineRule="auto" w:line="240" w:before="0" w:after="0"/>
              <w:jc w:val="center"/>
              <w:rPr>
                <w:rFonts w:eastAsia="Times New Roman" w:cs="Arial"/>
                <w:sz w:val="20"/>
                <w:szCs w:val="20"/>
                <w:lang w:val="de-AT" w:eastAsia="de-AT"/>
              </w:rPr>
            </w:pPr>
            <w:r>
              <w:rPr>
                <w:rFonts w:eastAsia="Times New Roman" w:cs="Arial"/>
                <w:sz w:val="20"/>
                <w:szCs w:val="20"/>
                <w:lang w:val="de-AT" w:eastAsia="de-AT"/>
              </w:rPr>
              <w:t>67.907</w:t>
            </w:r>
          </w:p>
        </w:tc>
        <w:tc>
          <w:tcPr>
            <w:tcW w:w="1773" w:type="dxa"/>
            <w:tcBorders>
              <w:top w:val="nil"/>
              <w:left w:val="nil"/>
              <w:bottom w:val="single" w:sz="4" w:space="0" w:color="00000A"/>
              <w:insideH w:val="single" w:sz="4" w:space="0" w:color="00000A"/>
              <w:right w:val="single" w:sz="8" w:space="0" w:color="00000A"/>
              <w:insideV w:val="single" w:sz="8" w:space="0" w:color="00000A"/>
            </w:tcBorders>
            <w:shd w:fill="FFFFFF" w:val="clear"/>
            <w:tcMar>
              <w:left w:w="70" w:type="dxa"/>
            </w:tcMar>
          </w:tcPr>
          <w:p>
            <w:pPr>
              <w:pStyle w:val="Normal"/>
              <w:spacing w:lineRule="auto" w:line="240" w:before="0" w:after="0"/>
              <w:jc w:val="center"/>
              <w:rPr>
                <w:rFonts w:eastAsia="Times New Roman" w:cs="Arial"/>
                <w:sz w:val="20"/>
                <w:szCs w:val="20"/>
                <w:lang w:val="de-AT" w:eastAsia="de-AT"/>
              </w:rPr>
            </w:pPr>
            <w:r>
              <w:rPr>
                <w:rFonts w:eastAsia="Times New Roman" w:cs="Arial"/>
                <w:sz w:val="20"/>
                <w:szCs w:val="20"/>
                <w:lang w:val="de-AT" w:eastAsia="de-AT"/>
              </w:rPr>
              <w:t>119.424</w:t>
            </w:r>
          </w:p>
        </w:tc>
      </w:tr>
      <w:tr>
        <w:trPr>
          <w:trHeight w:val="276" w:hRule="atLeast"/>
          <w:cantSplit w:val="false"/>
        </w:trPr>
        <w:tc>
          <w:tcPr>
            <w:tcW w:w="787" w:type="dxa"/>
            <w:tcBorders>
              <w:top w:val="nil"/>
              <w:left w:val="single" w:sz="8" w:space="0" w:color="00000A"/>
              <w:bottom w:val="single" w:sz="8" w:space="0" w:color="00000A"/>
              <w:insideH w:val="single" w:sz="8" w:space="0" w:color="00000A"/>
              <w:right w:val="single" w:sz="4" w:space="0" w:color="00000A"/>
              <w:insideV w:val="single" w:sz="4" w:space="0" w:color="00000A"/>
            </w:tcBorders>
            <w:shd w:fill="FFFFFF" w:val="clear"/>
            <w:tcMar>
              <w:left w:w="20" w:type="dxa"/>
            </w:tcMar>
          </w:tcPr>
          <w:p>
            <w:pPr>
              <w:pStyle w:val="Normal"/>
              <w:spacing w:lineRule="auto" w:line="240" w:before="0" w:after="0"/>
              <w:jc w:val="center"/>
              <w:rPr>
                <w:rFonts w:eastAsia="Times New Roman" w:cs="Arial"/>
                <w:b/>
                <w:bCs/>
                <w:sz w:val="20"/>
                <w:szCs w:val="20"/>
                <w:lang w:val="de-AT" w:eastAsia="de-AT"/>
              </w:rPr>
            </w:pPr>
            <w:r>
              <w:rPr>
                <w:rFonts w:eastAsia="Times New Roman" w:cs="Arial"/>
                <w:b/>
                <w:bCs/>
                <w:sz w:val="20"/>
                <w:szCs w:val="20"/>
                <w:lang w:val="de-AT" w:eastAsia="de-AT"/>
              </w:rPr>
              <w:t>2015</w:t>
            </w:r>
          </w:p>
        </w:tc>
        <w:tc>
          <w:tcPr>
            <w:tcW w:w="1160" w:type="dxa"/>
            <w:tcBorders>
              <w:top w:val="nil"/>
              <w:left w:val="nil"/>
              <w:bottom w:val="single" w:sz="8" w:space="0" w:color="00000A"/>
              <w:insideH w:val="single" w:sz="8" w:space="0" w:color="00000A"/>
              <w:right w:val="single" w:sz="4" w:space="0" w:color="00000A"/>
              <w:insideV w:val="single" w:sz="4" w:space="0" w:color="00000A"/>
            </w:tcBorders>
            <w:shd w:fill="FFFFFF" w:val="clear"/>
            <w:tcMar>
              <w:left w:w="70" w:type="dxa"/>
            </w:tcMar>
          </w:tcPr>
          <w:p>
            <w:pPr>
              <w:pStyle w:val="Normal"/>
              <w:spacing w:lineRule="auto" w:line="240" w:before="0" w:after="0"/>
              <w:jc w:val="center"/>
              <w:rPr>
                <w:rFonts w:eastAsia="Times New Roman" w:cs="Arial"/>
                <w:sz w:val="20"/>
                <w:szCs w:val="20"/>
                <w:lang w:val="de-AT" w:eastAsia="de-AT"/>
              </w:rPr>
            </w:pPr>
            <w:r>
              <w:rPr>
                <w:rFonts w:eastAsia="Times New Roman" w:cs="Arial"/>
                <w:sz w:val="20"/>
                <w:szCs w:val="20"/>
                <w:lang w:val="de-AT" w:eastAsia="de-AT"/>
              </w:rPr>
              <w:t>62.836</w:t>
            </w:r>
          </w:p>
        </w:tc>
        <w:tc>
          <w:tcPr>
            <w:tcW w:w="1234" w:type="dxa"/>
            <w:tcBorders>
              <w:top w:val="nil"/>
              <w:left w:val="nil"/>
              <w:bottom w:val="single" w:sz="8" w:space="0" w:color="00000A"/>
              <w:insideH w:val="single" w:sz="8" w:space="0" w:color="00000A"/>
              <w:right w:val="single" w:sz="4" w:space="0" w:color="00000A"/>
              <w:insideV w:val="single" w:sz="4" w:space="0" w:color="00000A"/>
            </w:tcBorders>
            <w:shd w:fill="FFFFFF" w:val="clear"/>
            <w:tcMar>
              <w:left w:w="70" w:type="dxa"/>
            </w:tcMar>
          </w:tcPr>
          <w:p>
            <w:pPr>
              <w:pStyle w:val="Normal"/>
              <w:spacing w:lineRule="auto" w:line="240" w:before="0" w:after="0"/>
              <w:jc w:val="center"/>
              <w:rPr>
                <w:rFonts w:eastAsia="Times New Roman" w:cs="Arial"/>
                <w:sz w:val="20"/>
                <w:szCs w:val="20"/>
                <w:lang w:val="de-AT" w:eastAsia="de-AT"/>
              </w:rPr>
            </w:pPr>
            <w:r>
              <w:rPr>
                <w:rFonts w:eastAsia="Times New Roman" w:cs="Arial"/>
                <w:sz w:val="20"/>
                <w:szCs w:val="20"/>
                <w:lang w:val="de-AT" w:eastAsia="de-AT"/>
              </w:rPr>
              <w:t>84.764</w:t>
            </w:r>
          </w:p>
        </w:tc>
        <w:tc>
          <w:tcPr>
            <w:tcW w:w="1773" w:type="dxa"/>
            <w:tcBorders>
              <w:top w:val="nil"/>
              <w:left w:val="nil"/>
              <w:bottom w:val="single" w:sz="8" w:space="0" w:color="00000A"/>
              <w:insideH w:val="single" w:sz="8" w:space="0" w:color="00000A"/>
              <w:right w:val="single" w:sz="8" w:space="0" w:color="00000A"/>
              <w:insideV w:val="single" w:sz="8" w:space="0" w:color="00000A"/>
            </w:tcBorders>
            <w:shd w:fill="FFFFFF" w:val="clear"/>
            <w:tcMar>
              <w:left w:w="70" w:type="dxa"/>
            </w:tcMar>
          </w:tcPr>
          <w:p>
            <w:pPr>
              <w:pStyle w:val="Normal"/>
              <w:spacing w:lineRule="auto" w:line="240" w:before="0" w:after="0"/>
              <w:jc w:val="center"/>
              <w:rPr>
                <w:rFonts w:eastAsia="Times New Roman" w:cs="Arial"/>
                <w:sz w:val="20"/>
                <w:szCs w:val="20"/>
                <w:lang w:val="de-AT" w:eastAsia="de-AT"/>
              </w:rPr>
            </w:pPr>
            <w:r>
              <w:rPr>
                <w:rFonts w:eastAsia="Times New Roman" w:cs="Arial"/>
                <w:sz w:val="20"/>
                <w:szCs w:val="20"/>
                <w:lang w:val="de-AT" w:eastAsia="de-AT"/>
              </w:rPr>
              <w:t>147.601</w:t>
            </w:r>
          </w:p>
        </w:tc>
      </w:tr>
    </w:tbl>
    <w:p>
      <w:pPr>
        <w:pStyle w:val="Normal"/>
        <w:jc w:val="center"/>
        <w:rPr>
          <w:rStyle w:val="Internetlink"/>
          <w:sz w:val="16"/>
          <w:szCs w:val="16"/>
          <w:lang w:val="de-AT"/>
        </w:rPr>
      </w:pPr>
      <w:r>
        <w:rPr>
          <w:b/>
          <w:sz w:val="16"/>
          <w:szCs w:val="16"/>
          <w:lang w:val="de-AT"/>
        </w:rPr>
        <w:t>Quelle:</w:t>
      </w:r>
      <w:r>
        <w:rPr>
          <w:sz w:val="16"/>
          <w:szCs w:val="16"/>
          <w:lang w:val="de-AT"/>
        </w:rPr>
        <w:t xml:space="preserve"> </w:t>
      </w:r>
      <w:hyperlink r:id="rId6">
        <w:r>
          <w:rPr>
            <w:rStyle w:val="Internetlink"/>
            <w:sz w:val="16"/>
            <w:szCs w:val="16"/>
            <w:lang w:val="de-AT"/>
          </w:rPr>
          <w:t>http://www.ams.at/ueber-ams/medien/arbeitsmarktdaten</w:t>
        </w:r>
      </w:hyperlink>
    </w:p>
    <w:p>
      <w:pPr>
        <w:pStyle w:val="Normal"/>
        <w:jc w:val="center"/>
        <w:rPr>
          <w:lang w:val="de-AT"/>
        </w:rPr>
      </w:pPr>
      <w:r>
        <w:rPr>
          <w:lang w:val="de-AT"/>
        </w:rPr>
      </w:r>
    </w:p>
    <w:p>
      <w:pPr>
        <w:pStyle w:val="Normal"/>
        <w:rPr>
          <w:rFonts w:eastAsia="Lucida Sans Unicode" w:cs="FreeSans" w:ascii="FreeSans" w:hAnsi="FreeSans"/>
          <w:b w:val="false"/>
          <w:bCs w:val="false"/>
          <w:color w:val="00000A"/>
          <w:sz w:val="22"/>
          <w:szCs w:val="22"/>
          <w:lang w:val="de-AT" w:eastAsia="zxx" w:bidi="zxx"/>
        </w:rPr>
      </w:pPr>
      <w:r>
        <w:rPr>
          <w:lang w:val="de-AT"/>
        </w:rPr>
        <w:t>B</w:t>
      </w:r>
      <w:r>
        <w:rPr>
          <w:rFonts w:eastAsia="Lucida Sans Unicode" w:cs="FreeSans" w:ascii="FreeSans" w:hAnsi="FreeSans"/>
          <w:b w:val="false"/>
          <w:bCs w:val="false"/>
          <w:color w:val="00000A"/>
          <w:sz w:val="22"/>
          <w:szCs w:val="22"/>
          <w:lang w:val="de-AT" w:eastAsia="zxx" w:bidi="zxx"/>
        </w:rPr>
        <w:t>ereits der Ausbruch der Weltwirtschaftskrise im Jahr 2007 hat die Zahl der langzeitbeschäftigungslosen Menschen stark ansteigen lassen. Nach dem Beschluss des sogenannten Fiskalpaktes im Jahr 2012, der einen de facto Ausstieg der öffentlichen Hand aus der Investitions- und Konjunkturpolitik zur Folge hatte, verdoppelte sich die Zahl der betroffenen Menschen innerhalb von drei Jahren.</w:t>
      </w:r>
    </w:p>
    <w:p>
      <w:pPr>
        <w:pStyle w:val="Normal"/>
        <w:spacing w:before="113" w:after="0"/>
        <w:rPr>
          <w:rFonts w:eastAsia="Lucida Sans Unicode" w:cs="FreeSans" w:ascii="FreeSans" w:hAnsi="FreeSans"/>
          <w:b w:val="false"/>
          <w:bCs w:val="false"/>
          <w:color w:val="00000A"/>
          <w:sz w:val="22"/>
          <w:szCs w:val="22"/>
          <w:lang w:val="de-AT" w:eastAsia="zxx" w:bidi="zxx"/>
        </w:rPr>
      </w:pPr>
      <w:r>
        <w:rPr>
          <w:rFonts w:eastAsia="Lucida Sans Unicode" w:cs="FreeSans" w:ascii="FreeSans" w:hAnsi="FreeSans"/>
          <w:b w:val="false"/>
          <w:bCs w:val="false"/>
          <w:color w:val="00000A"/>
          <w:sz w:val="22"/>
          <w:szCs w:val="22"/>
          <w:lang w:val="de-AT" w:eastAsia="zxx" w:bidi="zxx"/>
        </w:rPr>
        <w:t>Der höchste Anteil langzeitbeschäftigungsloser Menschen findet sich unter der Gruppe von Menschen, die höchstens eine Pflichtschule abgeschlossen hat. Dies ist insofern auch nicht weiter verwunderlich, als diese Gruppe ein Arbeitslosigkeitsrisiko von 26%, in Wien sogar von knapp 40% unterliegt. Plakativ ausgedrückt: Vier Menschen mit Pflichtschulabschluss müssen sich zu jedem Zeitpunkt um drei Jobs bemühen. In Wien müssen sich sogar fünf Menschen um drei Jobs konkurrieren.</w:t>
      </w:r>
    </w:p>
    <w:p>
      <w:pPr>
        <w:pStyle w:val="Normal"/>
        <w:rPr>
          <w:rFonts w:eastAsia="Lucida Sans Unicode" w:cs="FreeSans" w:ascii="FreeSans" w:hAnsi="FreeSans"/>
          <w:b w:val="false"/>
          <w:bCs w:val="false"/>
          <w:color w:val="00000A"/>
          <w:sz w:val="22"/>
          <w:szCs w:val="22"/>
          <w:lang w:val="de-AT" w:eastAsia="zxx" w:bidi="zxx"/>
        </w:rPr>
      </w:pPr>
      <w:r>
        <w:rPr>
          <w:rFonts w:eastAsia="Lucida Sans Unicode" w:cs="FreeSans" w:ascii="FreeSans" w:hAnsi="FreeSans"/>
          <w:b w:val="false"/>
          <w:bCs w:val="false"/>
          <w:color w:val="00000A"/>
          <w:sz w:val="22"/>
          <w:szCs w:val="22"/>
          <w:lang w:val="de-AT" w:eastAsia="zxx" w:bidi="zxx"/>
        </w:rPr>
      </w:r>
    </w:p>
    <w:p>
      <w:pPr>
        <w:pStyle w:val="Normal"/>
        <w:rPr/>
      </w:pPr>
      <w:r>
        <w:rPr/>
        <w:drawing>
          <wp:inline distT="0" distB="0" distL="0" distR="0">
            <wp:extent cx="5760720" cy="86804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7"/>
                    <a:stretch>
                      <a:fillRect/>
                    </a:stretch>
                  </pic:blipFill>
                  <pic:spPr bwMode="auto">
                    <a:xfrm>
                      <a:off x="0" y="0"/>
                      <a:ext cx="5760720" cy="868045"/>
                    </a:xfrm>
                    <a:prstGeom prst="rect">
                      <a:avLst/>
                    </a:prstGeom>
                    <a:noFill/>
                    <a:ln w="9525">
                      <a:noFill/>
                      <a:miter lim="800000"/>
                      <a:headEnd/>
                      <a:tailEnd/>
                    </a:ln>
                  </pic:spPr>
                </pic:pic>
              </a:graphicData>
            </a:graphic>
          </wp:inline>
        </w:drawing>
      </w:r>
    </w:p>
    <w:p>
      <w:pPr>
        <w:pStyle w:val="Normal"/>
        <w:rPr>
          <w:rStyle w:val="Internetlink"/>
          <w:sz w:val="16"/>
          <w:szCs w:val="16"/>
          <w:lang w:val="de-AT"/>
        </w:rPr>
      </w:pPr>
      <w:r>
        <w:rPr>
          <w:b/>
          <w:sz w:val="16"/>
          <w:szCs w:val="16"/>
          <w:lang w:val="de-AT"/>
        </w:rPr>
        <w:t>Grafik:</w:t>
      </w:r>
      <w:r>
        <w:rPr>
          <w:sz w:val="16"/>
          <w:szCs w:val="16"/>
          <w:lang w:val="de-AT"/>
        </w:rPr>
        <w:t xml:space="preserve"> </w:t>
      </w:r>
      <w:hyperlink r:id="rId8">
        <w:r>
          <w:rPr>
            <w:rStyle w:val="Internetlink"/>
            <w:sz w:val="16"/>
            <w:szCs w:val="16"/>
            <w:lang w:val="de-AT"/>
          </w:rPr>
          <w:t>http://www.dnet.at/elis/Tabellen/arbeitsmarkt/Arbeitslosigkeitsrisiko_Ausbildung_Jahr.pdf#page=1&amp;zoom=auto,-38,618</w:t>
        </w:r>
      </w:hyperlink>
    </w:p>
    <w:p>
      <w:pPr>
        <w:pStyle w:val="Normal"/>
        <w:rPr>
          <w:lang w:val="de-AT"/>
        </w:rPr>
      </w:pPr>
      <w:r>
        <w:rPr>
          <w:lang w:val="de-AT"/>
        </w:rPr>
      </w:r>
    </w:p>
    <w:p>
      <w:pPr>
        <w:pStyle w:val="Normal"/>
        <w:rPr>
          <w:rFonts w:eastAsia="Lucida Sans Unicode" w:cs="FreeSans" w:ascii="FreeSans" w:hAnsi="FreeSans"/>
          <w:b w:val="false"/>
          <w:bCs w:val="false"/>
          <w:color w:val="00000A"/>
          <w:sz w:val="22"/>
          <w:szCs w:val="22"/>
          <w:lang w:val="de-AT" w:eastAsia="zxx" w:bidi="zxx"/>
        </w:rPr>
      </w:pPr>
      <w:r>
        <w:rPr>
          <w:rFonts w:ascii="FreeSans" w:hAnsi="FreeSans"/>
          <w:lang w:val="de-AT"/>
        </w:rPr>
        <w:t>I</w:t>
      </w:r>
      <w:r>
        <w:rPr>
          <w:rFonts w:eastAsia="Lucida Sans Unicode" w:cs="FreeSans" w:ascii="FreeSans" w:hAnsi="FreeSans"/>
          <w:b w:val="false"/>
          <w:bCs w:val="false"/>
          <w:color w:val="00000A"/>
          <w:sz w:val="22"/>
          <w:szCs w:val="22"/>
          <w:lang w:val="de-AT" w:eastAsia="zxx" w:bidi="zxx"/>
        </w:rPr>
        <w:t>mmer mehr Menschen mit niedrigem Einkommen sind immer länger arbeitslos und erhalten daher nur ein niedriges Arbeitslosengeld (bzw. eine niedrige Notstandshilfe). Begründet wurde dies in der Vergangenheit mit der Erhöhung des Anreizes, bei reduzierter Kaufkraft eine Beschäftigung aufzunehmen. Diese Begründung war schon in der Vergangenheit verfehlt und realitätsverzerrend. Im März 2016, in dem auf zehn arbeitslose Menschen nur ein offenes Stellenangebot kommt, nimmt eine derartige Argumentation die nachhaltige Ausgrenzung von Menschen, die es im Leben weniger gut getroffen haben, in Kauf.</w:t>
      </w:r>
    </w:p>
    <w:p>
      <w:pPr>
        <w:pStyle w:val="Normal"/>
        <w:rPr>
          <w:rFonts w:eastAsia="Lucida Sans Unicode" w:cs="FreeSans" w:ascii="FreeSans" w:hAnsi="FreeSans"/>
          <w:b w:val="false"/>
          <w:bCs w:val="false"/>
          <w:color w:val="00000A"/>
          <w:sz w:val="22"/>
          <w:szCs w:val="22"/>
          <w:lang w:val="de-AT" w:eastAsia="zxx" w:bidi="zxx"/>
        </w:rPr>
      </w:pPr>
      <w:r>
        <w:rPr>
          <w:rFonts w:eastAsia="Lucida Sans Unicode" w:cs="FreeSans" w:ascii="FreeSans" w:hAnsi="FreeSans"/>
          <w:b w:val="false"/>
          <w:bCs w:val="false"/>
          <w:color w:val="00000A"/>
          <w:sz w:val="22"/>
          <w:szCs w:val="22"/>
          <w:lang w:val="de-AT" w:eastAsia="zxx" w:bidi="zxx"/>
        </w:rPr>
        <w:t>Die Kosten einer jährlichen Valorisierung der Leistungen aus der Arbeitslosenversicherung liegen deutlich unter der jährlichen Einnahmensteigerung aus Beiträgen und sind somit bedeckt.</w:t>
      </w:r>
    </w:p>
    <w:p>
      <w:pPr>
        <w:pStyle w:val="Normal"/>
        <w:rPr>
          <w:rFonts w:cs="FreeSans" w:ascii="FreeSans" w:hAnsi="FreeSans"/>
          <w:sz w:val="22"/>
          <w:szCs w:val="22"/>
          <w:lang w:val="de-AT"/>
        </w:rPr>
      </w:pPr>
      <w:r>
        <w:rPr>
          <w:rFonts w:cs="FreeSans" w:ascii="FreeSans" w:hAnsi="FreeSans"/>
          <w:sz w:val="22"/>
          <w:szCs w:val="22"/>
          <w:lang w:val="de-AT"/>
        </w:rPr>
      </w:r>
    </w:p>
    <w:p>
      <w:pPr>
        <w:pStyle w:val="Normal"/>
        <w:rPr>
          <w:rFonts w:cs="FreeSans" w:ascii="FreeSans" w:hAnsi="FreeSans"/>
          <w:sz w:val="22"/>
          <w:szCs w:val="22"/>
          <w:lang w:val="de-AT"/>
        </w:rPr>
      </w:pPr>
      <w:r>
        <w:rPr>
          <w:rFonts w:cs="FreeSans" w:ascii="FreeSans" w:hAnsi="FreeSans"/>
          <w:sz w:val="22"/>
          <w:szCs w:val="22"/>
          <w:lang w:val="de-AT"/>
        </w:rPr>
      </w:r>
    </w:p>
    <w:p>
      <w:pPr>
        <w:pStyle w:val="Sp2txt"/>
        <w:widowControl w:val="false"/>
        <w:suppressAutoHyphens w:val="true"/>
        <w:overflowPunct w:val="false"/>
        <w:bidi w:val="0"/>
        <w:spacing w:before="0" w:after="280"/>
        <w:jc w:val="left"/>
        <w:rPr>
          <w:rFonts w:cs="FreeSans" w:ascii="FreeSans" w:hAnsi="FreeSans"/>
          <w:b/>
          <w:bCs/>
          <w:sz w:val="22"/>
          <w:szCs w:val="22"/>
          <w:lang w:val="de-AT"/>
        </w:rPr>
      </w:pPr>
      <w:r>
        <w:rPr>
          <w:rFonts w:eastAsia="FreeSans" w:cs="FreeSans" w:ascii="FreeSans" w:hAnsi="FreeSans"/>
          <w:b/>
          <w:bCs/>
          <w:color w:val="00000A"/>
          <w:sz w:val="22"/>
          <w:szCs w:val="22"/>
          <w:lang w:val="de-AT" w:eastAsia="zxx" w:bidi="zxx"/>
        </w:rPr>
        <w:t>Die 166. Vollversammlung der Arbeiterkammer Wien möge daher beschließen</w:t>
      </w:r>
      <w:r>
        <w:rPr>
          <w:rFonts w:cs="FreeSans" w:ascii="FreeSans" w:hAnsi="FreeSans"/>
          <w:b/>
          <w:bCs/>
          <w:sz w:val="22"/>
          <w:szCs w:val="22"/>
          <w:lang w:val="de-AT"/>
        </w:rPr>
        <w:t>:</w:t>
      </w:r>
    </w:p>
    <w:p>
      <w:pPr>
        <w:pStyle w:val="Sp2txt"/>
        <w:widowControl w:val="false"/>
        <w:suppressAutoHyphens w:val="true"/>
        <w:overflowPunct w:val="false"/>
        <w:bidi w:val="0"/>
        <w:spacing w:before="0" w:after="280"/>
        <w:jc w:val="left"/>
        <w:rPr>
          <w:rFonts w:eastAsia="FreeSans" w:cs="FreeSans" w:ascii="FreeSans" w:hAnsi="FreeSans"/>
          <w:b/>
          <w:bCs/>
          <w:color w:val="00000A"/>
          <w:sz w:val="22"/>
          <w:szCs w:val="22"/>
          <w:lang w:val="de-AT" w:eastAsia="zxx" w:bidi="zxx"/>
        </w:rPr>
      </w:pPr>
      <w:r>
        <w:rPr>
          <w:rFonts w:eastAsia="FreeSans" w:cs="FreeSans" w:ascii="FreeSans" w:hAnsi="FreeSans"/>
          <w:b/>
          <w:bCs/>
          <w:color w:val="00000A"/>
          <w:sz w:val="22"/>
          <w:szCs w:val="22"/>
          <w:lang w:val="de-AT" w:eastAsia="zxx" w:bidi="zxx"/>
        </w:rPr>
        <w:t xml:space="preserve">Die AK Wien tritt für eine jährliche Valorisierung von Arbeitslosengeld, Notstandshilfe, Bevorschussung von Leistungen aus der Pensionsversicherung, Übergangsgeld nach Altersteilzeit </w:t>
      </w:r>
      <w:r>
        <w:rPr>
          <w:rFonts w:eastAsia="FreeSans" w:cs="FreeSans" w:ascii="FreeSans" w:hAnsi="FreeSans"/>
          <w:b/>
          <w:bCs/>
          <w:color w:val="00000A"/>
          <w:sz w:val="22"/>
          <w:szCs w:val="22"/>
          <w:lang w:val="de-AT" w:eastAsia="zxx" w:bidi="zxx"/>
        </w:rPr>
        <w:t>und</w:t>
      </w:r>
      <w:r>
        <w:rPr>
          <w:rFonts w:eastAsia="FreeSans" w:cs="FreeSans" w:ascii="FreeSans" w:hAnsi="FreeSans"/>
          <w:b/>
          <w:bCs/>
          <w:color w:val="00000A"/>
          <w:sz w:val="22"/>
          <w:szCs w:val="22"/>
          <w:lang w:val="de-AT" w:eastAsia="zxx" w:bidi="zxx"/>
        </w:rPr>
        <w:t xml:space="preserve"> Übergangsgeld mit dem zuletzt erhobenen Anpassungsfaktor gemäß § 108 Abs. 5 ASVG ein.</w:t>
      </w:r>
    </w:p>
    <w:sectPr>
      <w:footnotePr>
        <w:numFmt w:val="decimal"/>
      </w:footnotePr>
      <w:type w:val="nextPage"/>
      <w:pgSz w:w="11906" w:h="16838"/>
      <w:pgMar w:left="1134" w:right="1134"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FreeSans">
    <w:charset w:val="01"/>
    <w:family w:val="roman"/>
    <w:pitch w:val="variable"/>
  </w:font>
  <w:font w:name="FreeSans">
    <w:charset w:val="01"/>
    <w:family w:val="swiss"/>
    <w:pitch w:val="variable"/>
  </w:font>
</w:fonts>
</file>

<file path=word/footnotes.xml><?xml version="1.0" encoding="utf-8"?>
<w:footnotes xmlns:w="http://schemas.openxmlformats.org/wordprocessingml/2006/main" xmlns:r="http://schemas.openxmlformats.org/officeDocument/2006/relationships">
  <w:footnote w:id="0" w:type="separator">
    <w:p>
      <w:r>
        <w:separator/>
      </w:r>
    </w:p>
  </w:footnote>
  <w:footnote w:id="1" w:type="continuationSeparator">
    <w:p>
      <w:r>
        <w:continuationSeparator/>
      </w:r>
    </w:p>
  </w:footnote>
  <w:footnote w:id="2">
    <w:p>
      <w:pPr>
        <w:pStyle w:val="Funote"/>
        <w:rPr>
          <w:lang w:val="de-AT"/>
        </w:rPr>
      </w:pPr>
      <w:r>
        <w:rPr>
          <w:rStyle w:val="Footnotereference"/>
          <w:lang w:val="de-AT"/>
        </w:rPr>
        <w:footnoteRef/>
        <w:tab/>
      </w:r>
      <w:r>
        <w:rPr>
          <w:lang w:val="de-AT"/>
        </w:rPr>
        <w:t xml:space="preserve"> </w:t>
      </w:r>
      <w:r>
        <w:rPr>
          <w:lang w:val="de-AT"/>
        </w:rPr>
        <w:t>Siehe dazu: Statistik Austria: EU-SILC (European Community Statistics on Income and Living Conditions) 2015</w:t>
      </w:r>
    </w:p>
  </w:footnote>
</w:footnotes>
</file>

<file path=word/settings.xml><?xml version="1.0" encoding="utf-8"?>
<w:settings xmlns:w="http://schemas.openxmlformats.org/wordprocessingml/2006/main">
  <w:zoom w:percent="168"/>
  <w:displayBackgroundShape/>
  <w:defaultTabStop w:val="709"/>
  <w:footnotePr>
    <w:numFmt w:val="decimal"/>
    <w:footnote w:id="0"/>
    <w:footnote w:id="1"/>
  </w:footnotePr>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de-AT" w:eastAsia="zh-CN" w:bidi="hi-IN"/>
      </w:rPr>
    </w:rPrDefault>
    <w:pPrDefault>
      <w:pPr/>
    </w:pPrDefault>
  </w:docDefaults>
  <w:style w:type="paragraph" w:styleId="Normal">
    <w:name w:val="Normal"/>
    <w:pPr>
      <w:widowControl w:val="false"/>
      <w:suppressAutoHyphens w:val="true"/>
      <w:overflowPunct w:val="false"/>
      <w:bidi w:val="0"/>
      <w:jc w:val="left"/>
    </w:pPr>
    <w:rPr>
      <w:rFonts w:ascii="Times New Roman" w:hAnsi="Times New Roman" w:eastAsia="Lucida Sans Unicode" w:cs="Tahoma"/>
      <w:color w:val="00000A"/>
      <w:sz w:val="24"/>
      <w:szCs w:val="24"/>
      <w:lang w:val="de-AT" w:eastAsia="zxx" w:bidi="zxx"/>
    </w:rPr>
  </w:style>
  <w:style w:type="character" w:styleId="AbsatzStandardschriftart">
    <w:name w:val="Absatz-Standardschriftart"/>
    <w:rPr/>
  </w:style>
  <w:style w:type="character" w:styleId="WWAbsatzStandardschriftart">
    <w:name w:val="WW-Absatz-Standardschriftart"/>
    <w:rPr/>
  </w:style>
  <w:style w:type="character" w:styleId="WWAbsatzStandardschriftart1">
    <w:name w:val="WW-Absatz-Standardschriftart1"/>
    <w:rPr/>
  </w:style>
  <w:style w:type="character" w:styleId="DefaultParagraphFont">
    <w:name w:val="Default Paragraph Font"/>
    <w:rPr/>
  </w:style>
  <w:style w:type="character" w:styleId="Internetlink">
    <w:name w:val="Internetlink"/>
    <w:basedOn w:val="DefaultParagraphFont"/>
    <w:rPr>
      <w:color w:val="0000FF"/>
      <w:u w:val="single"/>
      <w:lang w:val="zxx" w:eastAsia="zxx" w:bidi="zxx"/>
    </w:rPr>
  </w:style>
  <w:style w:type="character" w:styleId="Footnotereference">
    <w:name w:val="footnote reference"/>
    <w:basedOn w:val="DefaultParagraphFont"/>
    <w:rPr>
      <w:vertAlign w:val="superscript"/>
    </w:rPr>
  </w:style>
  <w:style w:type="character" w:styleId="Funotenanker">
    <w:name w:val="Fußnotenanker"/>
    <w:rPr>
      <w:vertAlign w:val="superscript"/>
    </w:rPr>
  </w:style>
  <w:style w:type="character" w:styleId="Endnotenanker">
    <w:name w:val="Endnotenanker"/>
    <w:rPr>
      <w:vertAlign w:val="superscript"/>
    </w:rPr>
  </w:style>
  <w:style w:type="character" w:styleId="Funotenzeichen">
    <w:name w:val="Fußnotenzeichen"/>
    <w:rPr/>
  </w:style>
  <w:style w:type="character" w:styleId="Endnotenzeichen">
    <w:name w:val="Endnotenzeichen"/>
    <w:rPr/>
  </w:style>
  <w:style w:type="paragraph" w:styleId="Berschrift">
    <w:name w:val="Überschrift"/>
    <w:basedOn w:val="Normal"/>
    <w:next w:val="Textkrper"/>
    <w:pPr>
      <w:keepNext/>
      <w:spacing w:before="240" w:after="120"/>
    </w:pPr>
    <w:rPr>
      <w:rFonts w:ascii="Arial" w:hAnsi="Arial" w:eastAsia="Lucida Sans Unicode" w:cs="Tahoma"/>
      <w:sz w:val="28"/>
      <w:szCs w:val="28"/>
    </w:rPr>
  </w:style>
  <w:style w:type="paragraph" w:styleId="Textkrper">
    <w:name w:val="Textkörper"/>
    <w:basedOn w:val="Normal"/>
    <w:pPr>
      <w:spacing w:lineRule="auto" w:line="288" w:before="0" w:after="120"/>
    </w:pPr>
    <w:rPr/>
  </w:style>
  <w:style w:type="paragraph" w:styleId="Liste">
    <w:name w:val="Liste"/>
    <w:basedOn w:val="Textkrper"/>
    <w:pPr/>
    <w:rPr>
      <w:rFonts w:cs="Tahoma"/>
    </w:rPr>
  </w:style>
  <w:style w:type="paragraph" w:styleId="Beschriftung">
    <w:name w:val="Beschriftung"/>
    <w:basedOn w:val="Normal"/>
    <w:pPr>
      <w:suppressLineNumbers/>
      <w:spacing w:before="120" w:after="120"/>
    </w:pPr>
    <w:rPr>
      <w:rFonts w:cs="Tahoma"/>
      <w:i/>
      <w:iCs/>
      <w:sz w:val="24"/>
      <w:szCs w:val="24"/>
    </w:rPr>
  </w:style>
  <w:style w:type="paragraph" w:styleId="Verzeichnis">
    <w:name w:val="Verzeichnis"/>
    <w:basedOn w:val="Normal"/>
    <w:pPr>
      <w:suppressLineNumbers/>
    </w:pPr>
    <w:rPr>
      <w:rFonts w:cs="Tahoma"/>
    </w:rPr>
  </w:style>
  <w:style w:type="paragraph" w:styleId="Antragberschrift">
    <w:name w:val="Antrag Überschrift"/>
    <w:basedOn w:val="Normal"/>
    <w:pPr>
      <w:shd w:fill="FFFFFF" w:val="clear"/>
    </w:pPr>
    <w:rPr>
      <w:rFonts w:ascii="FreeSans" w:hAnsi="FreeSans" w:cs="FreeSans"/>
      <w:b w:val="false"/>
      <w:bCs/>
      <w:sz w:val="24"/>
      <w:szCs w:val="24"/>
    </w:rPr>
  </w:style>
  <w:style w:type="paragraph" w:styleId="AntragText">
    <w:name w:val="Antrag Text"/>
    <w:basedOn w:val="Antragberschrift"/>
    <w:pPr/>
    <w:rPr>
      <w:b/>
    </w:rPr>
  </w:style>
  <w:style w:type="paragraph" w:styleId="Sp2txt">
    <w:name w:val="sp2txt"/>
    <w:basedOn w:val="Normal"/>
    <w:pPr>
      <w:spacing w:before="280" w:after="280"/>
    </w:pPr>
    <w:rPr>
      <w:rFonts w:ascii="Times New Roman" w:hAnsi="Times New Roman" w:cs="Times New Roman"/>
      <w:sz w:val="24"/>
      <w:szCs w:val="24"/>
    </w:rPr>
  </w:style>
  <w:style w:type="paragraph" w:styleId="Funote">
    <w:name w:val="Fußnote"/>
    <w:basedOn w:val="Normal"/>
    <w:pPr>
      <w:suppressLineNumbers/>
      <w:ind w:left="339" w:right="0" w:hanging="339"/>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7.jpeg"/><Relationship Id="rId3" Type="http://schemas.openxmlformats.org/officeDocument/2006/relationships/hyperlink" Target="http://www.aktive-arbeitslose.at/aktionen/petition-wertsicherung-arbeitslosenversicherung.html" TargetMode="External"/><Relationship Id="rId4" Type="http://schemas.openxmlformats.org/officeDocument/2006/relationships/hyperlink" Target="http://www.statistik.at/web_de/statistiken/menschen_und_gesellschaft/soziales/armut_und_soziale_eingliederung/022861.html" TargetMode="External"/><Relationship Id="rId5" Type="http://schemas.openxmlformats.org/officeDocument/2006/relationships/hyperlink" Target="http://www.statistik.at/web_de/statistiken/menschen_und_gesellschaft/soziales/armut_und_soziale_eingliederung/index.html" TargetMode="External"/><Relationship Id="rId6" Type="http://schemas.openxmlformats.org/officeDocument/2006/relationships/hyperlink" Target="http://www.ams.at/ueber-ams/medien/arbeitsmarktdaten" TargetMode="External"/><Relationship Id="rId7" Type="http://schemas.openxmlformats.org/officeDocument/2006/relationships/image" Target="media/image8.png"/><Relationship Id="rId8" Type="http://schemas.openxmlformats.org/officeDocument/2006/relationships/hyperlink" Target="http://www.dnet.at/elis/Tabellen/arbeitsmarkt/Arbeitslosigkeitsrisiko_Ausbildung_Jahr.pdf%23page=1&amp;zoom=auto,-38,618" TargetMode="External"/><Relationship Id="rId9" Type="http://schemas.openxmlformats.org/officeDocument/2006/relationships/footnotes" Target="footnotes.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1367256704</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2016-04-15T12:59:00Z</dcterms:created>
  <dc:language>de-AT</dc:language>
  <cp:revision>1</cp:revision>
</cp:coreProperties>
</file>