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1B2D7A" w:rsidRDefault="001B2D7A" w:rsidP="001B2D7A"/>
    <w:p w:rsidR="00FF0F51" w:rsidRDefault="00FF0F51" w:rsidP="00FF0F51">
      <w:pPr>
        <w:pStyle w:val="berschrift1"/>
        <w:rPr>
          <w:rFonts w:cs="Arial"/>
        </w:rPr>
      </w:pPr>
      <w:r>
        <w:rPr>
          <w:rFonts w:cs="Arial"/>
        </w:rPr>
        <w:t xml:space="preserve">Antrag Nr. </w:t>
      </w:r>
      <w:r w:rsidR="004A0D73">
        <w:rPr>
          <w:rFonts w:cs="Arial"/>
        </w:rPr>
        <w:t>11</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 xml:space="preserve">der Fraktion sozialdemokratischer </w:t>
      </w:r>
      <w:proofErr w:type="spellStart"/>
      <w:r>
        <w:rPr>
          <w:rFonts w:ascii="Arial" w:hAnsi="Arial" w:cs="Arial"/>
          <w:sz w:val="20"/>
        </w:rPr>
        <w:t>GewerkschafterInnen</w:t>
      </w:r>
      <w:proofErr w:type="spellEnd"/>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C34672">
        <w:rPr>
          <w:rFonts w:ascii="Arial" w:hAnsi="Arial" w:cs="Arial"/>
          <w:sz w:val="20"/>
        </w:rPr>
        <w:t>166.</w:t>
      </w:r>
      <w:r>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C34672">
        <w:rPr>
          <w:rFonts w:ascii="Arial" w:hAnsi="Arial" w:cs="Arial"/>
          <w:sz w:val="20"/>
        </w:rPr>
        <w:t>25. Mai 2016</w:t>
      </w:r>
    </w:p>
    <w:p w:rsidR="00FF0F51" w:rsidRDefault="00FF0F51" w:rsidP="00FF0F51">
      <w:pPr>
        <w:spacing w:line="280" w:lineRule="exact"/>
        <w:jc w:val="center"/>
        <w:rPr>
          <w:rFonts w:ascii="Arial" w:hAnsi="Arial" w:cs="Arial"/>
          <w:sz w:val="20"/>
        </w:rPr>
      </w:pPr>
    </w:p>
    <w:p w:rsidR="0018667C" w:rsidRPr="00FF0F51" w:rsidRDefault="00C34672" w:rsidP="00C34672">
      <w:pPr>
        <w:spacing w:line="280" w:lineRule="exact"/>
        <w:jc w:val="center"/>
        <w:rPr>
          <w:rFonts w:ascii="Arial" w:hAnsi="Arial" w:cs="Arial"/>
          <w:sz w:val="20"/>
          <w:szCs w:val="20"/>
        </w:rPr>
      </w:pPr>
      <w:r w:rsidRPr="00C34672">
        <w:rPr>
          <w:rFonts w:ascii="Arial" w:hAnsi="Arial" w:cs="Arial"/>
          <w:b/>
          <w:bCs/>
          <w:caps/>
          <w:sz w:val="20"/>
          <w:szCs w:val="20"/>
        </w:rPr>
        <w:t>Steuerflucht und Steueroasen</w:t>
      </w:r>
    </w:p>
    <w:p w:rsidR="00FF0F51" w:rsidRDefault="00FF0F51" w:rsidP="00FF0F51">
      <w:pPr>
        <w:spacing w:line="280" w:lineRule="exact"/>
        <w:jc w:val="both"/>
        <w:rPr>
          <w:rFonts w:ascii="Arial" w:hAnsi="Arial" w:cs="Arial"/>
          <w:sz w:val="20"/>
          <w:szCs w:val="20"/>
        </w:rPr>
      </w:pPr>
    </w:p>
    <w:p w:rsidR="00C34672" w:rsidRPr="00C34672" w:rsidRDefault="00C34672" w:rsidP="00C34672">
      <w:pPr>
        <w:spacing w:line="280" w:lineRule="exact"/>
        <w:jc w:val="both"/>
        <w:rPr>
          <w:rFonts w:ascii="Arial" w:hAnsi="Arial" w:cs="Arial"/>
          <w:sz w:val="20"/>
          <w:szCs w:val="20"/>
        </w:rPr>
      </w:pPr>
      <w:r w:rsidRPr="00CB6D74">
        <w:rPr>
          <w:rFonts w:ascii="Arial" w:hAnsi="Arial" w:cs="Arial"/>
          <w:sz w:val="20"/>
          <w:szCs w:val="20"/>
        </w:rPr>
        <w:t>Die zuletzt veröffentlichten Daten der Panama-Papers zeigen deutlich, dass es notwendig ist endlich wirkungsvolle Maßnahmen zur Bekämpfung von Steuerhinterziehung</w:t>
      </w:r>
      <w:r w:rsidR="008C6BCC" w:rsidRPr="00CB6D74">
        <w:rPr>
          <w:rFonts w:ascii="Arial" w:hAnsi="Arial" w:cs="Arial"/>
          <w:sz w:val="20"/>
          <w:szCs w:val="20"/>
        </w:rPr>
        <w:t>,</w:t>
      </w:r>
      <w:r w:rsidRPr="00CB6D74">
        <w:rPr>
          <w:rFonts w:ascii="Arial" w:hAnsi="Arial" w:cs="Arial"/>
          <w:sz w:val="20"/>
          <w:szCs w:val="20"/>
        </w:rPr>
        <w:t xml:space="preserve"> Steuerflucht</w:t>
      </w:r>
      <w:r w:rsidR="008C6BCC" w:rsidRPr="00CB6D74">
        <w:rPr>
          <w:rFonts w:ascii="Arial" w:hAnsi="Arial" w:cs="Arial"/>
          <w:sz w:val="20"/>
          <w:szCs w:val="20"/>
        </w:rPr>
        <w:t xml:space="preserve"> </w:t>
      </w:r>
      <w:r w:rsidR="008C6BCC" w:rsidRPr="0030173F">
        <w:rPr>
          <w:rFonts w:ascii="Arial" w:hAnsi="Arial" w:cs="Arial"/>
          <w:sz w:val="20"/>
          <w:szCs w:val="20"/>
        </w:rPr>
        <w:t>und aggressiver Steuerplanung</w:t>
      </w:r>
      <w:r w:rsidRPr="0030173F">
        <w:rPr>
          <w:rFonts w:ascii="Arial" w:hAnsi="Arial" w:cs="Arial"/>
          <w:sz w:val="20"/>
          <w:szCs w:val="20"/>
        </w:rPr>
        <w:t xml:space="preserve"> zu setzen. Die sogenannten Panama Papers sind die bislang um</w:t>
      </w:r>
      <w:r w:rsidRPr="00C34672">
        <w:rPr>
          <w:rFonts w:ascii="Arial" w:hAnsi="Arial" w:cs="Arial"/>
          <w:sz w:val="20"/>
          <w:szCs w:val="20"/>
        </w:rPr>
        <w:t>fangreichsten Informationen über die Machenschaften der Superreichen im Zusammenhang mit Steuerflucht und Steuerhinterziehung:</w:t>
      </w:r>
      <w:r w:rsidR="002F3239">
        <w:rPr>
          <w:rFonts w:ascii="Arial" w:hAnsi="Arial" w:cs="Arial"/>
          <w:sz w:val="20"/>
          <w:szCs w:val="20"/>
        </w:rPr>
        <w:t xml:space="preserve"> </w:t>
      </w:r>
      <w:r w:rsidRPr="00C34672">
        <w:rPr>
          <w:rFonts w:ascii="Arial" w:hAnsi="Arial" w:cs="Arial"/>
          <w:sz w:val="20"/>
          <w:szCs w:val="20"/>
        </w:rPr>
        <w:t>2016 Panama-Papers mit 2,6 TB; im Jahr 2015 Swiss-</w:t>
      </w:r>
      <w:proofErr w:type="spellStart"/>
      <w:r w:rsidRPr="00C34672">
        <w:rPr>
          <w:rFonts w:ascii="Arial" w:hAnsi="Arial" w:cs="Arial"/>
          <w:sz w:val="20"/>
          <w:szCs w:val="20"/>
        </w:rPr>
        <w:t>Leaks</w:t>
      </w:r>
      <w:proofErr w:type="spellEnd"/>
      <w:r w:rsidRPr="00C34672">
        <w:rPr>
          <w:rFonts w:ascii="Arial" w:hAnsi="Arial" w:cs="Arial"/>
          <w:sz w:val="20"/>
          <w:szCs w:val="20"/>
        </w:rPr>
        <w:t xml:space="preserve"> mit 3,3 GB; 2014 Lux-</w:t>
      </w:r>
      <w:proofErr w:type="spellStart"/>
      <w:r w:rsidRPr="00C34672">
        <w:rPr>
          <w:rFonts w:ascii="Arial" w:hAnsi="Arial" w:cs="Arial"/>
          <w:sz w:val="20"/>
          <w:szCs w:val="20"/>
        </w:rPr>
        <w:t>Leaks</w:t>
      </w:r>
      <w:proofErr w:type="spellEnd"/>
      <w:r w:rsidRPr="00C34672">
        <w:rPr>
          <w:rFonts w:ascii="Arial" w:hAnsi="Arial" w:cs="Arial"/>
          <w:sz w:val="20"/>
          <w:szCs w:val="20"/>
        </w:rPr>
        <w:t xml:space="preserve"> mit 4 GB; 2013 Offshore-</w:t>
      </w:r>
      <w:proofErr w:type="spellStart"/>
      <w:r w:rsidRPr="00C34672">
        <w:rPr>
          <w:rFonts w:ascii="Arial" w:hAnsi="Arial" w:cs="Arial"/>
          <w:sz w:val="20"/>
          <w:szCs w:val="20"/>
        </w:rPr>
        <w:t>Leaks</w:t>
      </w:r>
      <w:proofErr w:type="spellEnd"/>
      <w:r w:rsidRPr="00C34672">
        <w:rPr>
          <w:rFonts w:ascii="Arial" w:hAnsi="Arial" w:cs="Arial"/>
          <w:sz w:val="20"/>
          <w:szCs w:val="20"/>
        </w:rPr>
        <w:t xml:space="preserve"> 260 GB oder 2010 Wiki-</w:t>
      </w:r>
      <w:proofErr w:type="spellStart"/>
      <w:r w:rsidRPr="00C34672">
        <w:rPr>
          <w:rFonts w:ascii="Arial" w:hAnsi="Arial" w:cs="Arial"/>
          <w:sz w:val="20"/>
          <w:szCs w:val="20"/>
        </w:rPr>
        <w:t>Leaks</w:t>
      </w:r>
      <w:proofErr w:type="spellEnd"/>
      <w:r w:rsidRPr="00C34672">
        <w:rPr>
          <w:rFonts w:ascii="Arial" w:hAnsi="Arial" w:cs="Arial"/>
          <w:sz w:val="20"/>
          <w:szCs w:val="20"/>
        </w:rPr>
        <w:t xml:space="preserve"> 1,7 GB. Dadurch entstand in den letzten Jahren verstärkt Druck aus der Öffentlichkeit, der auch internationalen Organisationen wie die Europäische Kommission oder die OECD zur Setzung von Maßnahmen veranlasste. Auf Anregung der G20-Länder entwickelte die Europäische Kommission </w:t>
      </w:r>
      <w:r w:rsidR="001376C6" w:rsidRPr="00C34672">
        <w:rPr>
          <w:rFonts w:ascii="Arial" w:hAnsi="Arial" w:cs="Arial"/>
          <w:sz w:val="20"/>
          <w:szCs w:val="20"/>
        </w:rPr>
        <w:t xml:space="preserve">2012 </w:t>
      </w:r>
      <w:r w:rsidRPr="00C34672">
        <w:rPr>
          <w:rFonts w:ascii="Arial" w:hAnsi="Arial" w:cs="Arial"/>
          <w:sz w:val="20"/>
          <w:szCs w:val="20"/>
        </w:rPr>
        <w:t xml:space="preserve">einen Aktionsplan mit 34 Maßnahmen zum Umgang mit Steueroasen und aggressiver Steuerplanung, nachdem EU-Kommissar </w:t>
      </w:r>
      <w:proofErr w:type="spellStart"/>
      <w:r w:rsidRPr="00C34672">
        <w:rPr>
          <w:rFonts w:ascii="Arial" w:hAnsi="Arial" w:cs="Arial"/>
          <w:sz w:val="20"/>
          <w:szCs w:val="20"/>
        </w:rPr>
        <w:t>Semeta</w:t>
      </w:r>
      <w:proofErr w:type="spellEnd"/>
      <w:r w:rsidRPr="00C34672">
        <w:rPr>
          <w:rFonts w:ascii="Arial" w:hAnsi="Arial" w:cs="Arial"/>
          <w:sz w:val="20"/>
          <w:szCs w:val="20"/>
        </w:rPr>
        <w:t xml:space="preserve"> feststellte, dass den Mitgliedstaaten jährlich 1 Bill. Euro an Steuereinnahmen entgehen. Die OECD hielt fest, dass zwei Drittel des grenzüberschreitenden Handels innerhalb von Konzernen erfolgt und mehr als die Hälfte des Welthandels über Steueroasen fließt. Der Aktionsplan der OECD (BEPS 2013) enthält daher 15 Maßnahmen, die sich </w:t>
      </w:r>
      <w:r w:rsidR="00A60722">
        <w:rPr>
          <w:rFonts w:ascii="Arial" w:hAnsi="Arial" w:cs="Arial"/>
          <w:sz w:val="20"/>
          <w:szCs w:val="20"/>
        </w:rPr>
        <w:t>insbesondere auf Gewinnverschiebungen</w:t>
      </w:r>
      <w:r w:rsidRPr="00C34672">
        <w:rPr>
          <w:rFonts w:ascii="Arial" w:hAnsi="Arial" w:cs="Arial"/>
          <w:sz w:val="20"/>
          <w:szCs w:val="20"/>
        </w:rPr>
        <w:t>, Transparenz oder multilaterale Abkommen beziehen. Außerdem soll ab 2017 der automatische Informationsaustausch in</w:t>
      </w:r>
      <w:r w:rsidR="001376C6">
        <w:rPr>
          <w:rFonts w:ascii="Arial" w:hAnsi="Arial" w:cs="Arial"/>
          <w:sz w:val="20"/>
          <w:szCs w:val="20"/>
        </w:rPr>
        <w:t xml:space="preserve"> Steuerangelegenheiten (Dividen</w:t>
      </w:r>
      <w:r w:rsidRPr="00C34672">
        <w:rPr>
          <w:rFonts w:ascii="Arial" w:hAnsi="Arial" w:cs="Arial"/>
          <w:sz w:val="20"/>
          <w:szCs w:val="20"/>
        </w:rPr>
        <w:t>denzahlungen, Zinszahlungen, Verä</w:t>
      </w:r>
      <w:r>
        <w:rPr>
          <w:rFonts w:ascii="Arial" w:hAnsi="Arial" w:cs="Arial"/>
          <w:sz w:val="20"/>
          <w:szCs w:val="20"/>
        </w:rPr>
        <w:t>u</w:t>
      </w:r>
      <w:r w:rsidRPr="00C34672">
        <w:rPr>
          <w:rFonts w:ascii="Arial" w:hAnsi="Arial" w:cs="Arial"/>
          <w:sz w:val="20"/>
          <w:szCs w:val="20"/>
        </w:rPr>
        <w:t xml:space="preserve">ßerungsgewinne u.a.) zwischen den Steuerbehörden </w:t>
      </w:r>
      <w:r w:rsidR="002F3239">
        <w:rPr>
          <w:rFonts w:ascii="Arial" w:hAnsi="Arial" w:cs="Arial"/>
          <w:sz w:val="20"/>
          <w:szCs w:val="20"/>
        </w:rPr>
        <w:t>eingeführt werden. Da</w:t>
      </w:r>
      <w:r w:rsidR="00A60722">
        <w:rPr>
          <w:rFonts w:ascii="Arial" w:hAnsi="Arial" w:cs="Arial"/>
          <w:sz w:val="20"/>
          <w:szCs w:val="20"/>
        </w:rPr>
        <w:t>s</w:t>
      </w:r>
      <w:r w:rsidR="002F3239">
        <w:rPr>
          <w:rFonts w:ascii="Arial" w:hAnsi="Arial" w:cs="Arial"/>
          <w:sz w:val="20"/>
          <w:szCs w:val="20"/>
        </w:rPr>
        <w:t>s</w:t>
      </w:r>
      <w:r w:rsidRPr="00C34672">
        <w:rPr>
          <w:rFonts w:ascii="Arial" w:hAnsi="Arial" w:cs="Arial"/>
          <w:sz w:val="20"/>
          <w:szCs w:val="20"/>
        </w:rPr>
        <w:t xml:space="preserve"> gerade viele der bekannten Steueroasen</w:t>
      </w:r>
      <w:r w:rsidR="002F3239">
        <w:rPr>
          <w:rFonts w:ascii="Arial" w:hAnsi="Arial" w:cs="Arial"/>
          <w:sz w:val="20"/>
          <w:szCs w:val="20"/>
        </w:rPr>
        <w:t xml:space="preserve"> </w:t>
      </w:r>
      <w:r w:rsidRPr="00C34672">
        <w:rPr>
          <w:rFonts w:ascii="Arial" w:hAnsi="Arial" w:cs="Arial"/>
          <w:sz w:val="20"/>
          <w:szCs w:val="20"/>
        </w:rPr>
        <w:t xml:space="preserve">nicht daran teilnehmen wollen verwundert nicht. Und trotz des automatischen Informationsaustausches bleiben nach wie vor Schlupflöcher zur Steuerhinterziehung offen. </w:t>
      </w:r>
    </w:p>
    <w:p w:rsidR="00C34672" w:rsidRPr="00C34672" w:rsidRDefault="00C34672" w:rsidP="00C34672">
      <w:pPr>
        <w:spacing w:line="280" w:lineRule="exact"/>
        <w:jc w:val="both"/>
        <w:rPr>
          <w:rFonts w:ascii="Arial" w:hAnsi="Arial" w:cs="Arial"/>
          <w:sz w:val="20"/>
          <w:szCs w:val="20"/>
        </w:rPr>
      </w:pPr>
    </w:p>
    <w:p w:rsidR="00C34672" w:rsidRPr="00C34672" w:rsidRDefault="00C34672" w:rsidP="00C34672">
      <w:pPr>
        <w:spacing w:line="280" w:lineRule="exact"/>
        <w:jc w:val="both"/>
        <w:rPr>
          <w:rFonts w:ascii="Arial" w:hAnsi="Arial" w:cs="Arial"/>
          <w:sz w:val="20"/>
          <w:szCs w:val="20"/>
        </w:rPr>
      </w:pPr>
      <w:r w:rsidRPr="00C34672">
        <w:rPr>
          <w:rFonts w:ascii="Arial" w:hAnsi="Arial" w:cs="Arial"/>
          <w:sz w:val="20"/>
          <w:szCs w:val="20"/>
        </w:rPr>
        <w:t>Die aus den Daten-</w:t>
      </w:r>
      <w:proofErr w:type="spellStart"/>
      <w:r w:rsidRPr="00C34672">
        <w:rPr>
          <w:rFonts w:ascii="Arial" w:hAnsi="Arial" w:cs="Arial"/>
          <w:sz w:val="20"/>
          <w:szCs w:val="20"/>
        </w:rPr>
        <w:t>Leaks</w:t>
      </w:r>
      <w:proofErr w:type="spellEnd"/>
      <w:r w:rsidRPr="00C34672">
        <w:rPr>
          <w:rFonts w:ascii="Arial" w:hAnsi="Arial" w:cs="Arial"/>
          <w:sz w:val="20"/>
          <w:szCs w:val="20"/>
        </w:rPr>
        <w:t xml:space="preserve"> hervorgegangenen Informationen bestätigen die bereits bekannten Schätzungen über versteckte Vermögen in Steueroasen. Vorwiegend </w:t>
      </w:r>
      <w:r>
        <w:rPr>
          <w:rFonts w:ascii="Arial" w:hAnsi="Arial" w:cs="Arial"/>
          <w:sz w:val="20"/>
          <w:szCs w:val="20"/>
        </w:rPr>
        <w:t>m</w:t>
      </w:r>
      <w:r w:rsidRPr="00C34672">
        <w:rPr>
          <w:rFonts w:ascii="Arial" w:hAnsi="Arial" w:cs="Arial"/>
          <w:sz w:val="20"/>
          <w:szCs w:val="20"/>
        </w:rPr>
        <w:t>ultinationale Unternehmen und vermögende Privatpersonen bedienen sich bei ihrer Steuerflucht und Steuerhinterziehung verschiedener Steueroasen mit Unterstützung und Beratung von Wirtschaftsprüfungs- und Steuerberatungsunternehmen sowie Bankinstitute. Sie sind die bedeutendsten Akteure und auch Profiteure im System der Steuerflucht.</w:t>
      </w:r>
      <w:r w:rsidR="002F3239">
        <w:rPr>
          <w:rFonts w:ascii="Arial" w:hAnsi="Arial" w:cs="Arial"/>
          <w:sz w:val="20"/>
          <w:szCs w:val="20"/>
        </w:rPr>
        <w:t xml:space="preserve"> </w:t>
      </w:r>
    </w:p>
    <w:p w:rsidR="00C34672" w:rsidRPr="00C34672" w:rsidRDefault="00C34672" w:rsidP="00C34672">
      <w:pPr>
        <w:spacing w:line="280" w:lineRule="exact"/>
        <w:jc w:val="both"/>
        <w:rPr>
          <w:rFonts w:ascii="Arial" w:hAnsi="Arial" w:cs="Arial"/>
          <w:sz w:val="20"/>
          <w:szCs w:val="20"/>
        </w:rPr>
      </w:pPr>
    </w:p>
    <w:p w:rsidR="00C34672" w:rsidRPr="00C34672" w:rsidRDefault="00C34672" w:rsidP="00C34672">
      <w:pPr>
        <w:spacing w:line="280" w:lineRule="exact"/>
        <w:jc w:val="both"/>
        <w:rPr>
          <w:rFonts w:ascii="Arial" w:hAnsi="Arial" w:cs="Arial"/>
          <w:sz w:val="20"/>
          <w:szCs w:val="20"/>
        </w:rPr>
      </w:pPr>
      <w:r w:rsidRPr="00C34672">
        <w:rPr>
          <w:rFonts w:ascii="Arial" w:hAnsi="Arial" w:cs="Arial"/>
          <w:sz w:val="20"/>
          <w:szCs w:val="20"/>
        </w:rPr>
        <w:t xml:space="preserve">Die Problematik der Steuerflucht ist mittlerweile kein unbekanntes Phänomen mehr. Jedoch ist die wachsende Dimension des Offshore-Vermögens alarmierend. Die hohen Einkommen und Gewinne konnten nur durch die Arbeit der vielen ArbeitnehmerInnen sowie durch die Nutzung der zur </w:t>
      </w:r>
      <w:proofErr w:type="spellStart"/>
      <w:r w:rsidRPr="00C34672">
        <w:rPr>
          <w:rFonts w:ascii="Arial" w:hAnsi="Arial" w:cs="Arial"/>
          <w:sz w:val="20"/>
          <w:szCs w:val="20"/>
        </w:rPr>
        <w:t>Verfügungstehenden</w:t>
      </w:r>
      <w:proofErr w:type="spellEnd"/>
      <w:r w:rsidRPr="00C34672">
        <w:rPr>
          <w:rFonts w:ascii="Arial" w:hAnsi="Arial" w:cs="Arial"/>
          <w:sz w:val="20"/>
          <w:szCs w:val="20"/>
        </w:rPr>
        <w:t xml:space="preserve"> öffentlichen Infrastruktur erzielt werden. Unternehmen, Konzerne, Banken oder vermögende Privatpersonen entledigen sich somit gesellschaftlichen Pflichten und verursachen der Allgemeinheit Kosten enormen Ausmaßes. Die Entwicklung der Steuerstruktur der letzten Jahrzehnte zeigt, dass die Steuern auf Kapital und Gewinne fallen, während gleichzeitig die Einkommen aus Kapital und Gewinne</w:t>
      </w:r>
      <w:r w:rsidR="002F3239">
        <w:rPr>
          <w:rFonts w:ascii="Arial" w:hAnsi="Arial" w:cs="Arial"/>
          <w:sz w:val="20"/>
          <w:szCs w:val="20"/>
        </w:rPr>
        <w:t>n</w:t>
      </w:r>
      <w:r w:rsidRPr="00C34672">
        <w:rPr>
          <w:rFonts w:ascii="Arial" w:hAnsi="Arial" w:cs="Arial"/>
          <w:sz w:val="20"/>
          <w:szCs w:val="20"/>
        </w:rPr>
        <w:t xml:space="preserve"> steigen. Den daraus resultierenden Steuerausfall müssen die ArbeitnehmerInnen über die Lohn- und Mehrwertsteuer kompensieren. </w:t>
      </w:r>
    </w:p>
    <w:p w:rsidR="00C34672" w:rsidRPr="00C34672" w:rsidRDefault="00C34672" w:rsidP="00C34672">
      <w:pPr>
        <w:spacing w:line="280" w:lineRule="exact"/>
        <w:jc w:val="both"/>
        <w:rPr>
          <w:rFonts w:ascii="Arial" w:hAnsi="Arial" w:cs="Arial"/>
          <w:sz w:val="20"/>
          <w:szCs w:val="20"/>
        </w:rPr>
      </w:pPr>
    </w:p>
    <w:p w:rsidR="00C34672" w:rsidRPr="00C34672" w:rsidRDefault="00C34672" w:rsidP="00C34672">
      <w:pPr>
        <w:spacing w:line="280" w:lineRule="exact"/>
        <w:jc w:val="both"/>
        <w:rPr>
          <w:rFonts w:ascii="Arial" w:hAnsi="Arial" w:cs="Arial"/>
          <w:sz w:val="20"/>
          <w:szCs w:val="20"/>
        </w:rPr>
      </w:pPr>
    </w:p>
    <w:p w:rsidR="00C34672" w:rsidRDefault="00C34672" w:rsidP="00C34672">
      <w:pPr>
        <w:spacing w:line="280" w:lineRule="exact"/>
        <w:jc w:val="both"/>
        <w:rPr>
          <w:rFonts w:ascii="Arial" w:hAnsi="Arial" w:cs="Arial"/>
          <w:b/>
          <w:sz w:val="20"/>
          <w:szCs w:val="20"/>
        </w:rPr>
      </w:pPr>
      <w:r w:rsidRPr="00CB6D74">
        <w:rPr>
          <w:rFonts w:ascii="Arial" w:hAnsi="Arial" w:cs="Arial"/>
          <w:b/>
          <w:sz w:val="20"/>
          <w:szCs w:val="20"/>
        </w:rPr>
        <w:lastRenderedPageBreak/>
        <w:t xml:space="preserve">Die Vollversammlung der Kammer für Arbeiter und Angestellte für Wien fordert daher den </w:t>
      </w:r>
      <w:r w:rsidRPr="0030173F">
        <w:rPr>
          <w:rFonts w:ascii="Arial" w:hAnsi="Arial" w:cs="Arial"/>
          <w:b/>
          <w:sz w:val="20"/>
          <w:szCs w:val="20"/>
        </w:rPr>
        <w:t xml:space="preserve">Gesetzgeber </w:t>
      </w:r>
      <w:r w:rsidR="008C6BCC" w:rsidRPr="0030173F">
        <w:rPr>
          <w:rFonts w:ascii="Arial" w:hAnsi="Arial" w:cs="Arial"/>
          <w:b/>
          <w:sz w:val="20"/>
          <w:szCs w:val="20"/>
        </w:rPr>
        <w:t xml:space="preserve">und die Bundesregierung </w:t>
      </w:r>
      <w:r w:rsidRPr="0030173F">
        <w:rPr>
          <w:rFonts w:ascii="Arial" w:hAnsi="Arial" w:cs="Arial"/>
          <w:b/>
          <w:sz w:val="20"/>
          <w:szCs w:val="20"/>
        </w:rPr>
        <w:t>auf sich</w:t>
      </w:r>
      <w:r w:rsidRPr="00CB6D74">
        <w:rPr>
          <w:rFonts w:ascii="Arial" w:hAnsi="Arial" w:cs="Arial"/>
          <w:b/>
          <w:sz w:val="20"/>
          <w:szCs w:val="20"/>
        </w:rPr>
        <w:t xml:space="preserve"> dafür einzusetzen, dass folgende Maßnahmen umgesetzt werden:</w:t>
      </w:r>
      <w:r w:rsidRPr="00C34672">
        <w:rPr>
          <w:rFonts w:ascii="Arial" w:hAnsi="Arial" w:cs="Arial"/>
          <w:b/>
          <w:sz w:val="20"/>
          <w:szCs w:val="20"/>
        </w:rPr>
        <w:t xml:space="preserve"> </w:t>
      </w:r>
    </w:p>
    <w:p w:rsidR="00C34672" w:rsidRPr="00C34672" w:rsidRDefault="00C34672" w:rsidP="00C34672">
      <w:pPr>
        <w:spacing w:line="280" w:lineRule="exact"/>
        <w:jc w:val="both"/>
        <w:rPr>
          <w:rFonts w:ascii="Arial" w:hAnsi="Arial" w:cs="Arial"/>
          <w:b/>
          <w:sz w:val="20"/>
          <w:szCs w:val="20"/>
        </w:rPr>
      </w:pPr>
    </w:p>
    <w:p w:rsidR="00C34672" w:rsidRPr="00C34672" w:rsidRDefault="00C34672" w:rsidP="00C34672">
      <w:pPr>
        <w:pStyle w:val="Listenabsatz"/>
        <w:numPr>
          <w:ilvl w:val="0"/>
          <w:numId w:val="1"/>
        </w:numPr>
        <w:spacing w:line="280" w:lineRule="exact"/>
        <w:jc w:val="both"/>
        <w:rPr>
          <w:rFonts w:ascii="Arial" w:hAnsi="Arial" w:cs="Arial"/>
          <w:b/>
          <w:sz w:val="20"/>
          <w:szCs w:val="20"/>
        </w:rPr>
      </w:pPr>
      <w:r w:rsidRPr="00C34672">
        <w:rPr>
          <w:rFonts w:ascii="Arial" w:hAnsi="Arial" w:cs="Arial"/>
          <w:b/>
          <w:sz w:val="20"/>
          <w:szCs w:val="20"/>
        </w:rPr>
        <w:t>Offenlegung der wirtschaftlichen Eigentümer bzw. Berechtigte</w:t>
      </w:r>
      <w:r w:rsidR="002F3239">
        <w:rPr>
          <w:rFonts w:ascii="Arial" w:hAnsi="Arial" w:cs="Arial"/>
          <w:b/>
          <w:sz w:val="20"/>
          <w:szCs w:val="20"/>
        </w:rPr>
        <w:t>n</w:t>
      </w:r>
      <w:r w:rsidRPr="00C34672">
        <w:rPr>
          <w:rFonts w:ascii="Arial" w:hAnsi="Arial" w:cs="Arial"/>
          <w:b/>
          <w:sz w:val="20"/>
          <w:szCs w:val="20"/>
        </w:rPr>
        <w:t xml:space="preserve"> in einem internationalen Register</w:t>
      </w:r>
    </w:p>
    <w:p w:rsidR="00C34672" w:rsidRPr="00990FB2" w:rsidRDefault="00C34672" w:rsidP="00C34672">
      <w:pPr>
        <w:spacing w:line="280" w:lineRule="exact"/>
        <w:ind w:left="709"/>
        <w:jc w:val="both"/>
        <w:rPr>
          <w:rFonts w:ascii="Arial" w:hAnsi="Arial" w:cs="Arial"/>
          <w:sz w:val="20"/>
          <w:szCs w:val="20"/>
        </w:rPr>
      </w:pPr>
      <w:r w:rsidRPr="00990FB2">
        <w:rPr>
          <w:rFonts w:ascii="Arial" w:hAnsi="Arial" w:cs="Arial"/>
          <w:sz w:val="20"/>
          <w:szCs w:val="20"/>
        </w:rPr>
        <w:t>Konstruktionen wie sogenannte Briefkastenfirmen, bei denen die tatsächlichen Eigentümer nicht bekanntgegeben werden und die üblicherweise nur dazu benutzt werden, um Steuern zu umgehen</w:t>
      </w:r>
      <w:r w:rsidR="001376C6">
        <w:rPr>
          <w:rFonts w:ascii="Arial" w:hAnsi="Arial" w:cs="Arial"/>
          <w:sz w:val="20"/>
          <w:szCs w:val="20"/>
        </w:rPr>
        <w:t>,</w:t>
      </w:r>
      <w:r w:rsidRPr="00990FB2">
        <w:rPr>
          <w:rFonts w:ascii="Arial" w:hAnsi="Arial" w:cs="Arial"/>
          <w:sz w:val="20"/>
          <w:szCs w:val="20"/>
        </w:rPr>
        <w:t xml:space="preserve"> müssen transparent gestaltet sein. Dazu ist die Registrierung mit Offenlegung der tatsächlichen Eigentumsverhältnisse erforderlich. Eine globale Lösung mit einem weltweiten Finanzregister, indem die tatsächlichen Eigentumsverhältnisse offengelegt werden</w:t>
      </w:r>
      <w:r w:rsidR="002F3239">
        <w:rPr>
          <w:rFonts w:ascii="Arial" w:hAnsi="Arial" w:cs="Arial"/>
          <w:sz w:val="20"/>
          <w:szCs w:val="20"/>
        </w:rPr>
        <w:t>,</w:t>
      </w:r>
      <w:r w:rsidRPr="00990FB2">
        <w:rPr>
          <w:rFonts w:ascii="Arial" w:hAnsi="Arial" w:cs="Arial"/>
          <w:sz w:val="20"/>
          <w:szCs w:val="20"/>
        </w:rPr>
        <w:t xml:space="preserve"> ist dringend notwendig.</w:t>
      </w:r>
    </w:p>
    <w:p w:rsidR="00990FB2" w:rsidRPr="00990FB2" w:rsidRDefault="00990FB2" w:rsidP="00C34672">
      <w:pPr>
        <w:spacing w:line="280" w:lineRule="exact"/>
        <w:ind w:left="709"/>
        <w:jc w:val="both"/>
        <w:rPr>
          <w:rFonts w:ascii="Arial" w:hAnsi="Arial" w:cs="Arial"/>
          <w:sz w:val="20"/>
          <w:szCs w:val="20"/>
        </w:rPr>
      </w:pPr>
    </w:p>
    <w:p w:rsidR="00C34672" w:rsidRPr="00C34672" w:rsidRDefault="00C34672" w:rsidP="00C34672">
      <w:pPr>
        <w:pStyle w:val="Listenabsatz"/>
        <w:numPr>
          <w:ilvl w:val="0"/>
          <w:numId w:val="1"/>
        </w:numPr>
        <w:spacing w:line="280" w:lineRule="exact"/>
        <w:jc w:val="both"/>
        <w:rPr>
          <w:rFonts w:ascii="Arial" w:hAnsi="Arial" w:cs="Arial"/>
          <w:b/>
          <w:sz w:val="20"/>
          <w:szCs w:val="20"/>
        </w:rPr>
      </w:pPr>
      <w:r w:rsidRPr="00C34672">
        <w:rPr>
          <w:rFonts w:ascii="Arial" w:hAnsi="Arial" w:cs="Arial"/>
          <w:b/>
          <w:sz w:val="20"/>
          <w:szCs w:val="20"/>
        </w:rPr>
        <w:t>Sanktionen für Fin</w:t>
      </w:r>
      <w:r w:rsidR="002F3239">
        <w:rPr>
          <w:rFonts w:ascii="Arial" w:hAnsi="Arial" w:cs="Arial"/>
          <w:b/>
          <w:sz w:val="20"/>
          <w:szCs w:val="20"/>
        </w:rPr>
        <w:t>anzdienstleister/Bankinstitute</w:t>
      </w:r>
    </w:p>
    <w:p w:rsidR="00C34672" w:rsidRPr="00C34672" w:rsidRDefault="00C34672" w:rsidP="00C34672">
      <w:pPr>
        <w:spacing w:line="280" w:lineRule="exact"/>
        <w:ind w:left="709"/>
        <w:jc w:val="both"/>
        <w:rPr>
          <w:rFonts w:ascii="Arial" w:hAnsi="Arial" w:cs="Arial"/>
          <w:sz w:val="20"/>
          <w:szCs w:val="20"/>
        </w:rPr>
      </w:pPr>
      <w:r w:rsidRPr="00C34672">
        <w:rPr>
          <w:rFonts w:ascii="Arial" w:hAnsi="Arial" w:cs="Arial"/>
          <w:sz w:val="20"/>
          <w:szCs w:val="20"/>
        </w:rPr>
        <w:t xml:space="preserve">Finanzdienstleistungsunternehmen müssen bei der Gründung von Offshore-Gesellschaften bestimmte Kriterien überprüfen. Die Nichteinhaltung dieser Kriterien soll in Zukunft mit spürbaren Sanktionen belegt werden. Ebenso bei der Verletzung der Meldeverpflichtungen von Vermögens- und Kapitaltransfers. </w:t>
      </w:r>
    </w:p>
    <w:p w:rsidR="00C34672" w:rsidRPr="00C34672" w:rsidRDefault="00C34672" w:rsidP="00C34672">
      <w:pPr>
        <w:spacing w:line="280" w:lineRule="exact"/>
        <w:jc w:val="both"/>
        <w:rPr>
          <w:rFonts w:ascii="Arial" w:hAnsi="Arial" w:cs="Arial"/>
          <w:sz w:val="20"/>
          <w:szCs w:val="20"/>
        </w:rPr>
      </w:pPr>
    </w:p>
    <w:p w:rsidR="00C34672" w:rsidRPr="00C34672" w:rsidRDefault="00C34672" w:rsidP="00C34672">
      <w:pPr>
        <w:pStyle w:val="Listenabsatz"/>
        <w:numPr>
          <w:ilvl w:val="0"/>
          <w:numId w:val="1"/>
        </w:numPr>
        <w:spacing w:line="280" w:lineRule="exact"/>
        <w:jc w:val="both"/>
        <w:rPr>
          <w:rFonts w:ascii="Arial" w:hAnsi="Arial" w:cs="Arial"/>
          <w:b/>
          <w:sz w:val="20"/>
          <w:szCs w:val="20"/>
        </w:rPr>
      </w:pPr>
      <w:r w:rsidRPr="00C34672">
        <w:rPr>
          <w:rFonts w:ascii="Arial" w:hAnsi="Arial" w:cs="Arial"/>
          <w:b/>
          <w:sz w:val="20"/>
          <w:szCs w:val="20"/>
        </w:rPr>
        <w:t xml:space="preserve">Abschaffung von Briefkastenfirmen </w:t>
      </w:r>
    </w:p>
    <w:p w:rsidR="00C34672" w:rsidRPr="00C34672" w:rsidRDefault="00C34672" w:rsidP="00C34672">
      <w:pPr>
        <w:spacing w:line="280" w:lineRule="exact"/>
        <w:ind w:left="709"/>
        <w:jc w:val="both"/>
        <w:rPr>
          <w:rFonts w:ascii="Arial" w:hAnsi="Arial" w:cs="Arial"/>
          <w:sz w:val="20"/>
          <w:szCs w:val="20"/>
        </w:rPr>
      </w:pPr>
      <w:r w:rsidRPr="00C34672">
        <w:rPr>
          <w:rFonts w:ascii="Arial" w:hAnsi="Arial" w:cs="Arial"/>
          <w:sz w:val="20"/>
          <w:szCs w:val="20"/>
        </w:rPr>
        <w:t>Durch entsprechende gesetzliche Bestimmungen sollen Kontoeröffnungen mit Briefkastenfirmen an strenge Kriterien geknüpft bzw. verboten werden. (Etwa wenn die wirtschaftlichen Berechtigten nicht bekannt sind oder der Standort der tatsächlichen wirtschaftlichen Tätigkeit nicht vorhanden ist.)</w:t>
      </w:r>
    </w:p>
    <w:p w:rsidR="00C34672" w:rsidRPr="00C34672" w:rsidRDefault="00C34672" w:rsidP="00C34672">
      <w:pPr>
        <w:spacing w:line="280" w:lineRule="exact"/>
        <w:jc w:val="both"/>
        <w:rPr>
          <w:rFonts w:ascii="Arial" w:hAnsi="Arial" w:cs="Arial"/>
          <w:sz w:val="20"/>
          <w:szCs w:val="20"/>
        </w:rPr>
      </w:pPr>
    </w:p>
    <w:p w:rsidR="00C34672" w:rsidRPr="00C34672" w:rsidRDefault="00C34672" w:rsidP="00C34672">
      <w:pPr>
        <w:pStyle w:val="Listenabsatz"/>
        <w:numPr>
          <w:ilvl w:val="0"/>
          <w:numId w:val="1"/>
        </w:numPr>
        <w:spacing w:line="280" w:lineRule="exact"/>
        <w:jc w:val="both"/>
        <w:rPr>
          <w:rFonts w:ascii="Arial" w:hAnsi="Arial" w:cs="Arial"/>
          <w:b/>
          <w:sz w:val="20"/>
          <w:szCs w:val="20"/>
          <w:lang w:val="en-US"/>
        </w:rPr>
      </w:pPr>
      <w:r w:rsidRPr="00C34672">
        <w:rPr>
          <w:rFonts w:ascii="Arial" w:hAnsi="Arial" w:cs="Arial"/>
          <w:b/>
          <w:sz w:val="20"/>
          <w:szCs w:val="20"/>
          <w:lang w:val="en-US"/>
        </w:rPr>
        <w:t>Country by Country Reporting (</w:t>
      </w:r>
      <w:proofErr w:type="spellStart"/>
      <w:r w:rsidRPr="00C34672">
        <w:rPr>
          <w:rFonts w:ascii="Arial" w:hAnsi="Arial" w:cs="Arial"/>
          <w:b/>
          <w:sz w:val="20"/>
          <w:szCs w:val="20"/>
          <w:lang w:val="en-US"/>
        </w:rPr>
        <w:t>CbCR</w:t>
      </w:r>
      <w:proofErr w:type="spellEnd"/>
      <w:r w:rsidRPr="00C34672">
        <w:rPr>
          <w:rFonts w:ascii="Arial" w:hAnsi="Arial" w:cs="Arial"/>
          <w:b/>
          <w:sz w:val="20"/>
          <w:szCs w:val="20"/>
          <w:lang w:val="en-US"/>
        </w:rPr>
        <w:t xml:space="preserve">) </w:t>
      </w:r>
      <w:proofErr w:type="spellStart"/>
      <w:r w:rsidRPr="00C34672">
        <w:rPr>
          <w:rFonts w:ascii="Arial" w:hAnsi="Arial" w:cs="Arial"/>
          <w:b/>
          <w:sz w:val="20"/>
          <w:szCs w:val="20"/>
          <w:lang w:val="en-US"/>
        </w:rPr>
        <w:t>länderweise</w:t>
      </w:r>
      <w:proofErr w:type="spellEnd"/>
      <w:r w:rsidRPr="00C34672">
        <w:rPr>
          <w:rFonts w:ascii="Arial" w:hAnsi="Arial" w:cs="Arial"/>
          <w:b/>
          <w:sz w:val="20"/>
          <w:szCs w:val="20"/>
          <w:lang w:val="en-US"/>
        </w:rPr>
        <w:t xml:space="preserve"> </w:t>
      </w:r>
      <w:proofErr w:type="spellStart"/>
      <w:r w:rsidRPr="00C34672">
        <w:rPr>
          <w:rFonts w:ascii="Arial" w:hAnsi="Arial" w:cs="Arial"/>
          <w:b/>
          <w:sz w:val="20"/>
          <w:szCs w:val="20"/>
          <w:lang w:val="en-US"/>
        </w:rPr>
        <w:t>Berichterstattung</w:t>
      </w:r>
      <w:proofErr w:type="spellEnd"/>
    </w:p>
    <w:p w:rsidR="00C34672" w:rsidRPr="00C34672" w:rsidRDefault="00C34672" w:rsidP="00C34672">
      <w:pPr>
        <w:spacing w:line="280" w:lineRule="exact"/>
        <w:ind w:left="709"/>
        <w:jc w:val="both"/>
        <w:rPr>
          <w:rFonts w:ascii="Arial" w:hAnsi="Arial" w:cs="Arial"/>
          <w:sz w:val="20"/>
          <w:szCs w:val="20"/>
        </w:rPr>
      </w:pPr>
      <w:r w:rsidRPr="00C34672">
        <w:rPr>
          <w:rFonts w:ascii="Arial" w:hAnsi="Arial" w:cs="Arial"/>
          <w:sz w:val="20"/>
          <w:szCs w:val="20"/>
        </w:rPr>
        <w:t>Mutterkonzerne sollen für die Steuerbehörden</w:t>
      </w:r>
      <w:r w:rsidR="00430F66">
        <w:rPr>
          <w:rFonts w:ascii="Arial" w:hAnsi="Arial" w:cs="Arial"/>
          <w:sz w:val="20"/>
          <w:szCs w:val="20"/>
        </w:rPr>
        <w:t xml:space="preserve"> von den mit ihnen</w:t>
      </w:r>
      <w:r w:rsidRPr="00C34672">
        <w:rPr>
          <w:rFonts w:ascii="Arial" w:hAnsi="Arial" w:cs="Arial"/>
          <w:sz w:val="20"/>
          <w:szCs w:val="20"/>
        </w:rPr>
        <w:t xml:space="preserve"> verbundene</w:t>
      </w:r>
      <w:r w:rsidR="00430F66">
        <w:rPr>
          <w:rFonts w:ascii="Arial" w:hAnsi="Arial" w:cs="Arial"/>
          <w:sz w:val="20"/>
          <w:szCs w:val="20"/>
        </w:rPr>
        <w:t>n</w:t>
      </w:r>
      <w:r w:rsidRPr="00C34672">
        <w:rPr>
          <w:rFonts w:ascii="Arial" w:hAnsi="Arial" w:cs="Arial"/>
          <w:sz w:val="20"/>
          <w:szCs w:val="20"/>
        </w:rPr>
        <w:t xml:space="preserve"> Tochterunternehmen wichtige Informationen klar ersichtlich machen und zwar für jedes Land, in dem sie wirtschaftlich tätig sind. Wichtige Informationen wie Gewinne und Steuern, ihre Bilanzierungsmethoden, Tätigkeitsort, Beschäftigtenzahlen, Lohnkosten, Umsätze etc. können in Folge von den betroffenen Steuerbehörden bearbeitet werden. </w:t>
      </w:r>
    </w:p>
    <w:p w:rsidR="00C34672" w:rsidRPr="00C34672" w:rsidRDefault="00C34672" w:rsidP="00C34672">
      <w:pPr>
        <w:spacing w:line="280" w:lineRule="exact"/>
        <w:jc w:val="both"/>
        <w:rPr>
          <w:rFonts w:ascii="Arial" w:hAnsi="Arial" w:cs="Arial"/>
          <w:sz w:val="20"/>
          <w:szCs w:val="20"/>
        </w:rPr>
      </w:pPr>
    </w:p>
    <w:p w:rsidR="00C34672" w:rsidRPr="00C34672" w:rsidRDefault="00C34672" w:rsidP="00C34672">
      <w:pPr>
        <w:pStyle w:val="Listenabsatz"/>
        <w:numPr>
          <w:ilvl w:val="0"/>
          <w:numId w:val="1"/>
        </w:numPr>
        <w:spacing w:line="280" w:lineRule="exact"/>
        <w:jc w:val="both"/>
        <w:rPr>
          <w:rFonts w:ascii="Arial" w:hAnsi="Arial" w:cs="Arial"/>
          <w:b/>
          <w:sz w:val="20"/>
          <w:szCs w:val="20"/>
        </w:rPr>
      </w:pPr>
      <w:r w:rsidRPr="00C34672">
        <w:rPr>
          <w:rFonts w:ascii="Arial" w:hAnsi="Arial" w:cs="Arial"/>
          <w:b/>
          <w:sz w:val="20"/>
          <w:szCs w:val="20"/>
        </w:rPr>
        <w:t xml:space="preserve">Stärkung der personellen Ressourcen in der Finanzverwaltung </w:t>
      </w:r>
    </w:p>
    <w:p w:rsidR="00C34672" w:rsidRPr="00C34672" w:rsidRDefault="00C34672" w:rsidP="00C34672">
      <w:pPr>
        <w:spacing w:line="280" w:lineRule="exact"/>
        <w:jc w:val="both"/>
        <w:rPr>
          <w:rFonts w:ascii="Arial" w:hAnsi="Arial" w:cs="Arial"/>
          <w:sz w:val="20"/>
          <w:szCs w:val="20"/>
        </w:rPr>
      </w:pPr>
    </w:p>
    <w:p w:rsidR="00430F66" w:rsidRDefault="00430F66" w:rsidP="00C34672">
      <w:pPr>
        <w:pStyle w:val="Listenabsatz"/>
        <w:numPr>
          <w:ilvl w:val="0"/>
          <w:numId w:val="1"/>
        </w:numPr>
        <w:spacing w:line="280" w:lineRule="exact"/>
        <w:jc w:val="both"/>
        <w:rPr>
          <w:rFonts w:ascii="Arial" w:hAnsi="Arial" w:cs="Arial"/>
          <w:b/>
          <w:sz w:val="20"/>
          <w:szCs w:val="20"/>
        </w:rPr>
      </w:pPr>
      <w:r>
        <w:rPr>
          <w:rFonts w:ascii="Arial" w:hAnsi="Arial" w:cs="Arial"/>
          <w:b/>
          <w:sz w:val="20"/>
          <w:szCs w:val="20"/>
        </w:rPr>
        <w:t>Verstärkte</w:t>
      </w:r>
      <w:r w:rsidRPr="00C34672">
        <w:rPr>
          <w:rFonts w:ascii="Arial" w:hAnsi="Arial" w:cs="Arial"/>
          <w:b/>
          <w:sz w:val="20"/>
          <w:szCs w:val="20"/>
        </w:rPr>
        <w:t xml:space="preserve"> Zusammenarbeit internationaler Steuerverwaltungen</w:t>
      </w:r>
    </w:p>
    <w:p w:rsidR="00B647E5" w:rsidRPr="00990FB2" w:rsidRDefault="00C34672" w:rsidP="00B647E5">
      <w:pPr>
        <w:spacing w:line="280" w:lineRule="exact"/>
        <w:ind w:left="709"/>
        <w:jc w:val="both"/>
        <w:rPr>
          <w:rFonts w:ascii="Arial" w:hAnsi="Arial" w:cs="Arial"/>
          <w:sz w:val="20"/>
          <w:szCs w:val="20"/>
        </w:rPr>
      </w:pPr>
      <w:r w:rsidRPr="00430F66">
        <w:rPr>
          <w:rFonts w:ascii="Arial" w:hAnsi="Arial" w:cs="Arial"/>
          <w:sz w:val="20"/>
          <w:szCs w:val="20"/>
        </w:rPr>
        <w:t xml:space="preserve">Ab 1.1.2017 </w:t>
      </w:r>
      <w:r w:rsidR="00430F66">
        <w:rPr>
          <w:rFonts w:ascii="Arial" w:hAnsi="Arial" w:cs="Arial"/>
          <w:sz w:val="20"/>
          <w:szCs w:val="20"/>
        </w:rPr>
        <w:t xml:space="preserve">gibt </w:t>
      </w:r>
      <w:r w:rsidRPr="00430F66">
        <w:rPr>
          <w:rFonts w:ascii="Arial" w:hAnsi="Arial" w:cs="Arial"/>
          <w:sz w:val="20"/>
          <w:szCs w:val="20"/>
        </w:rPr>
        <w:t>es die Möglichkeit einer verstärkten Zusammenarbeit internationaler Steuerverwaltungen. Dieses Instrument muss von der Finanzverwaltung intensiv und aktiv gen</w:t>
      </w:r>
      <w:r w:rsidR="00430F66">
        <w:rPr>
          <w:rFonts w:ascii="Arial" w:hAnsi="Arial" w:cs="Arial"/>
          <w:sz w:val="20"/>
          <w:szCs w:val="20"/>
        </w:rPr>
        <w:t>u</w:t>
      </w:r>
      <w:r w:rsidRPr="00430F66">
        <w:rPr>
          <w:rFonts w:ascii="Arial" w:hAnsi="Arial" w:cs="Arial"/>
          <w:sz w:val="20"/>
          <w:szCs w:val="20"/>
        </w:rPr>
        <w:t>tzt werden.</w:t>
      </w:r>
      <w:r w:rsidR="00B647E5">
        <w:rPr>
          <w:rFonts w:ascii="Arial" w:hAnsi="Arial" w:cs="Arial"/>
          <w:sz w:val="20"/>
          <w:szCs w:val="20"/>
        </w:rPr>
        <w:t xml:space="preserve"> </w:t>
      </w:r>
      <w:r w:rsidR="00B647E5" w:rsidRPr="00990FB2">
        <w:rPr>
          <w:rFonts w:ascii="Arial" w:hAnsi="Arial" w:cs="Arial"/>
          <w:sz w:val="20"/>
          <w:szCs w:val="20"/>
        </w:rPr>
        <w:t xml:space="preserve">Insbesondere sollten die bereits bekannten Daten auch von der österreichischen </w:t>
      </w:r>
      <w:r w:rsidR="00B647E5">
        <w:rPr>
          <w:rFonts w:ascii="Arial" w:hAnsi="Arial" w:cs="Arial"/>
          <w:sz w:val="20"/>
          <w:szCs w:val="20"/>
        </w:rPr>
        <w:t>Steuerverwaltung</w:t>
      </w:r>
      <w:r w:rsidR="00B647E5" w:rsidRPr="00990FB2">
        <w:rPr>
          <w:rFonts w:ascii="Arial" w:hAnsi="Arial" w:cs="Arial"/>
          <w:sz w:val="20"/>
          <w:szCs w:val="20"/>
        </w:rPr>
        <w:t xml:space="preserve"> </w:t>
      </w:r>
      <w:r w:rsidR="00B647E5">
        <w:rPr>
          <w:rFonts w:ascii="Arial" w:hAnsi="Arial" w:cs="Arial"/>
          <w:sz w:val="20"/>
          <w:szCs w:val="20"/>
        </w:rPr>
        <w:t>ausgewertet</w:t>
      </w:r>
      <w:r w:rsidR="00B647E5" w:rsidRPr="00990FB2">
        <w:rPr>
          <w:rFonts w:ascii="Arial" w:hAnsi="Arial" w:cs="Arial"/>
          <w:sz w:val="20"/>
          <w:szCs w:val="20"/>
        </w:rPr>
        <w:t xml:space="preserve"> werden.</w:t>
      </w:r>
    </w:p>
    <w:p w:rsidR="00C34672" w:rsidRPr="00430F66" w:rsidRDefault="00C34672" w:rsidP="00430F66">
      <w:pPr>
        <w:spacing w:line="280" w:lineRule="exact"/>
        <w:ind w:left="709"/>
        <w:jc w:val="both"/>
        <w:rPr>
          <w:rFonts w:ascii="Arial" w:hAnsi="Arial" w:cs="Arial"/>
          <w:sz w:val="20"/>
          <w:szCs w:val="20"/>
        </w:rPr>
      </w:pPr>
    </w:p>
    <w:p w:rsidR="00C34672" w:rsidRPr="00C34672" w:rsidRDefault="00C34672" w:rsidP="00C34672">
      <w:pPr>
        <w:pStyle w:val="Listenabsatz"/>
        <w:numPr>
          <w:ilvl w:val="0"/>
          <w:numId w:val="1"/>
        </w:numPr>
        <w:spacing w:line="280" w:lineRule="exact"/>
        <w:jc w:val="both"/>
        <w:rPr>
          <w:rFonts w:ascii="Arial" w:hAnsi="Arial" w:cs="Arial"/>
          <w:b/>
          <w:sz w:val="20"/>
          <w:szCs w:val="20"/>
        </w:rPr>
      </w:pPr>
      <w:r w:rsidRPr="00C34672">
        <w:rPr>
          <w:rFonts w:ascii="Arial" w:hAnsi="Arial" w:cs="Arial"/>
          <w:b/>
          <w:sz w:val="20"/>
          <w:szCs w:val="20"/>
        </w:rPr>
        <w:t xml:space="preserve">Erstellung einer Schwarzen Liste </w:t>
      </w:r>
    </w:p>
    <w:p w:rsidR="00C34672" w:rsidRPr="00C34672" w:rsidRDefault="00C34672" w:rsidP="00C34672">
      <w:pPr>
        <w:spacing w:line="280" w:lineRule="exact"/>
        <w:ind w:left="709"/>
        <w:jc w:val="both"/>
        <w:rPr>
          <w:rFonts w:ascii="Arial" w:hAnsi="Arial" w:cs="Arial"/>
          <w:sz w:val="20"/>
          <w:szCs w:val="20"/>
        </w:rPr>
      </w:pPr>
      <w:r w:rsidRPr="00C34672">
        <w:rPr>
          <w:rFonts w:ascii="Arial" w:hAnsi="Arial" w:cs="Arial"/>
          <w:sz w:val="20"/>
          <w:szCs w:val="20"/>
        </w:rPr>
        <w:t xml:space="preserve">Länder, die nicht kooperativ sind und generell intransparente Strukturen aufweisen, sollen in dieser Liste angeführt werden. Die Liste muss zumindest den OECD-Standards entsprechen. Zahlungen in Steueroasen dürfen steuerlich nicht mehr abzugsfähig sein. </w:t>
      </w:r>
    </w:p>
    <w:p w:rsidR="00C34672" w:rsidRPr="00C34672" w:rsidRDefault="00C34672" w:rsidP="00C34672">
      <w:pPr>
        <w:spacing w:line="280" w:lineRule="exact"/>
        <w:jc w:val="both"/>
        <w:rPr>
          <w:rFonts w:ascii="Arial" w:hAnsi="Arial" w:cs="Arial"/>
          <w:sz w:val="20"/>
          <w:szCs w:val="20"/>
        </w:rPr>
      </w:pPr>
    </w:p>
    <w:p w:rsidR="00990FB2" w:rsidRPr="0030173F" w:rsidRDefault="008C6BCC" w:rsidP="00BD3869">
      <w:pPr>
        <w:pStyle w:val="Listenabsatz"/>
        <w:numPr>
          <w:ilvl w:val="0"/>
          <w:numId w:val="1"/>
        </w:numPr>
        <w:spacing w:line="280" w:lineRule="exact"/>
        <w:jc w:val="both"/>
        <w:rPr>
          <w:rFonts w:ascii="Arial" w:hAnsi="Arial" w:cs="Arial"/>
          <w:sz w:val="20"/>
          <w:szCs w:val="20"/>
        </w:rPr>
      </w:pPr>
      <w:r w:rsidRPr="0030173F">
        <w:rPr>
          <w:rFonts w:ascii="Arial" w:hAnsi="Arial" w:cs="Arial"/>
          <w:b/>
          <w:sz w:val="20"/>
          <w:szCs w:val="20"/>
        </w:rPr>
        <w:t>Rasche Beschlussfassung</w:t>
      </w:r>
      <w:r w:rsidR="00C34672" w:rsidRPr="0030173F">
        <w:rPr>
          <w:rFonts w:ascii="Arial" w:hAnsi="Arial" w:cs="Arial"/>
          <w:b/>
          <w:sz w:val="20"/>
          <w:szCs w:val="20"/>
        </w:rPr>
        <w:t xml:space="preserve"> der Finanztransaktionssteuer, wie im Richtlinien</w:t>
      </w:r>
      <w:r w:rsidRPr="0030173F">
        <w:rPr>
          <w:rFonts w:ascii="Arial" w:hAnsi="Arial" w:cs="Arial"/>
          <w:b/>
          <w:sz w:val="20"/>
          <w:szCs w:val="20"/>
        </w:rPr>
        <w:t>vorschlag</w:t>
      </w:r>
      <w:r w:rsidR="00C34672" w:rsidRPr="0030173F">
        <w:rPr>
          <w:rFonts w:ascii="Arial" w:hAnsi="Arial" w:cs="Arial"/>
          <w:b/>
          <w:sz w:val="20"/>
          <w:szCs w:val="20"/>
        </w:rPr>
        <w:t xml:space="preserve"> der Europäischen Kommission </w:t>
      </w:r>
      <w:r w:rsidR="00CB6D74" w:rsidRPr="0030173F">
        <w:rPr>
          <w:rFonts w:ascii="Arial" w:hAnsi="Arial" w:cs="Arial"/>
          <w:b/>
          <w:sz w:val="20"/>
          <w:szCs w:val="20"/>
        </w:rPr>
        <w:t>vorgeschlagen</w:t>
      </w:r>
    </w:p>
    <w:p w:rsidR="00B647E5" w:rsidRPr="00B647E5" w:rsidRDefault="00B647E5" w:rsidP="00B647E5">
      <w:pPr>
        <w:spacing w:line="280" w:lineRule="exact"/>
        <w:ind w:left="360"/>
        <w:jc w:val="both"/>
        <w:rPr>
          <w:rFonts w:ascii="Arial" w:hAnsi="Arial" w:cs="Arial"/>
          <w:sz w:val="20"/>
          <w:szCs w:val="20"/>
        </w:rPr>
      </w:pPr>
    </w:p>
    <w:p w:rsidR="00C34672" w:rsidRPr="00C34672" w:rsidRDefault="00C34672" w:rsidP="00C34672">
      <w:pPr>
        <w:pStyle w:val="Listenabsatz"/>
        <w:numPr>
          <w:ilvl w:val="0"/>
          <w:numId w:val="1"/>
        </w:numPr>
        <w:spacing w:line="280" w:lineRule="exact"/>
        <w:jc w:val="both"/>
        <w:rPr>
          <w:rFonts w:ascii="Arial" w:hAnsi="Arial" w:cs="Arial"/>
          <w:b/>
          <w:sz w:val="20"/>
          <w:szCs w:val="20"/>
        </w:rPr>
      </w:pPr>
      <w:r w:rsidRPr="00C34672">
        <w:rPr>
          <w:rFonts w:ascii="Arial" w:hAnsi="Arial" w:cs="Arial"/>
          <w:b/>
          <w:sz w:val="20"/>
          <w:szCs w:val="20"/>
        </w:rPr>
        <w:t xml:space="preserve">Schutz für Whistleblower </w:t>
      </w:r>
    </w:p>
    <w:p w:rsidR="00C34672" w:rsidRDefault="00C34672" w:rsidP="00C34672">
      <w:pPr>
        <w:spacing w:line="280" w:lineRule="exact"/>
        <w:ind w:left="709"/>
        <w:jc w:val="both"/>
        <w:rPr>
          <w:rFonts w:ascii="Arial" w:hAnsi="Arial" w:cs="Arial"/>
          <w:color w:val="000000"/>
          <w:sz w:val="20"/>
          <w:szCs w:val="20"/>
          <w:lang w:eastAsia="de-AT"/>
        </w:rPr>
      </w:pPr>
      <w:r w:rsidRPr="00C34672">
        <w:rPr>
          <w:rFonts w:ascii="Arial" w:hAnsi="Arial" w:cs="Arial"/>
          <w:sz w:val="20"/>
          <w:szCs w:val="20"/>
        </w:rPr>
        <w:t xml:space="preserve">Im Zusammenhang mit Korruption, Steuerhinterziehung und anderen Delikten der </w:t>
      </w:r>
      <w:r w:rsidRPr="008C6BCC">
        <w:rPr>
          <w:rFonts w:ascii="Arial" w:hAnsi="Arial" w:cs="Arial"/>
          <w:sz w:val="20"/>
          <w:szCs w:val="20"/>
        </w:rPr>
        <w:t xml:space="preserve">Wirtschaftskriminalität ist </w:t>
      </w:r>
      <w:proofErr w:type="spellStart"/>
      <w:r w:rsidRPr="008C6BCC">
        <w:rPr>
          <w:rFonts w:ascii="Arial" w:hAnsi="Arial" w:cs="Arial"/>
          <w:sz w:val="20"/>
          <w:szCs w:val="20"/>
        </w:rPr>
        <w:t>whistleblowing</w:t>
      </w:r>
      <w:proofErr w:type="spellEnd"/>
      <w:r w:rsidRPr="008C6BCC">
        <w:rPr>
          <w:rFonts w:ascii="Arial" w:hAnsi="Arial" w:cs="Arial"/>
          <w:sz w:val="20"/>
          <w:szCs w:val="20"/>
        </w:rPr>
        <w:t xml:space="preserve"> sinnvoll. Hier soll aber auch eine entsprechend wirksame rechtliche Absicherung von ArbeitnehmerInnen gegeben sein. Durch die Schaffung eines durchsetzbaren arbeitsrechtlichen </w:t>
      </w:r>
      <w:proofErr w:type="spellStart"/>
      <w:r w:rsidRPr="008C6BCC">
        <w:rPr>
          <w:rFonts w:ascii="Arial" w:hAnsi="Arial" w:cs="Arial"/>
          <w:sz w:val="20"/>
          <w:szCs w:val="20"/>
        </w:rPr>
        <w:t>Benachteilungsschutzes</w:t>
      </w:r>
      <w:proofErr w:type="spellEnd"/>
      <w:r w:rsidRPr="008C6BCC">
        <w:rPr>
          <w:rFonts w:ascii="Arial" w:hAnsi="Arial" w:cs="Arial"/>
          <w:sz w:val="20"/>
          <w:szCs w:val="20"/>
        </w:rPr>
        <w:t xml:space="preserve"> können ArbeitnehmerInnen </w:t>
      </w:r>
      <w:r w:rsidRPr="0030173F">
        <w:rPr>
          <w:rFonts w:ascii="Arial" w:hAnsi="Arial" w:cs="Arial"/>
          <w:sz w:val="20"/>
          <w:szCs w:val="20"/>
        </w:rPr>
        <w:t xml:space="preserve">vor strafrechtlichen Konsequenzen geschützt werden. </w:t>
      </w:r>
      <w:r w:rsidR="008C6BCC" w:rsidRPr="0030173F">
        <w:rPr>
          <w:rFonts w:ascii="Arial" w:hAnsi="Arial" w:cs="Arial"/>
          <w:color w:val="000000"/>
          <w:sz w:val="20"/>
          <w:szCs w:val="20"/>
          <w:lang w:eastAsia="de-AT"/>
        </w:rPr>
        <w:t>In diesem Zusammenhang darf es</w:t>
      </w:r>
      <w:r w:rsidR="00CB6D74" w:rsidRPr="0030173F">
        <w:rPr>
          <w:rFonts w:ascii="Arial" w:hAnsi="Arial" w:cs="Arial"/>
          <w:color w:val="000000"/>
          <w:sz w:val="20"/>
          <w:szCs w:val="20"/>
          <w:lang w:eastAsia="de-AT"/>
        </w:rPr>
        <w:t xml:space="preserve"> bei</w:t>
      </w:r>
      <w:r w:rsidR="008C6BCC" w:rsidRPr="0030173F">
        <w:rPr>
          <w:rFonts w:ascii="Arial" w:hAnsi="Arial" w:cs="Arial"/>
          <w:color w:val="000000"/>
          <w:sz w:val="20"/>
          <w:szCs w:val="20"/>
          <w:lang w:eastAsia="de-AT"/>
        </w:rPr>
        <w:t xml:space="preserve"> der derzeitigen Beschlussfassung zur Richtlinie über den Schutz von Geschäftsgeheimnissen</w:t>
      </w:r>
      <w:r w:rsidR="00CB6D74" w:rsidRPr="0030173F">
        <w:rPr>
          <w:rFonts w:ascii="Arial" w:hAnsi="Arial" w:cs="Arial"/>
          <w:color w:val="000000"/>
          <w:sz w:val="20"/>
          <w:szCs w:val="20"/>
          <w:lang w:eastAsia="de-AT"/>
        </w:rPr>
        <w:t xml:space="preserve"> zu</w:t>
      </w:r>
      <w:r w:rsidR="008C6BCC" w:rsidRPr="0030173F">
        <w:rPr>
          <w:rFonts w:ascii="Arial" w:hAnsi="Arial" w:cs="Arial"/>
          <w:color w:val="000000"/>
          <w:sz w:val="20"/>
          <w:szCs w:val="20"/>
          <w:lang w:eastAsia="de-AT"/>
        </w:rPr>
        <w:t xml:space="preserve"> keine</w:t>
      </w:r>
      <w:r w:rsidR="00CB6D74" w:rsidRPr="0030173F">
        <w:rPr>
          <w:rFonts w:ascii="Arial" w:hAnsi="Arial" w:cs="Arial"/>
          <w:color w:val="000000"/>
          <w:sz w:val="20"/>
          <w:szCs w:val="20"/>
          <w:lang w:eastAsia="de-AT"/>
        </w:rPr>
        <w:t>r</w:t>
      </w:r>
      <w:r w:rsidR="008C6BCC" w:rsidRPr="0030173F">
        <w:rPr>
          <w:rFonts w:ascii="Arial" w:hAnsi="Arial" w:cs="Arial"/>
          <w:color w:val="000000"/>
          <w:sz w:val="20"/>
          <w:szCs w:val="20"/>
          <w:lang w:eastAsia="de-AT"/>
        </w:rPr>
        <w:t xml:space="preserve"> unverhältnismäßig weite</w:t>
      </w:r>
      <w:r w:rsidR="00CB6D74" w:rsidRPr="0030173F">
        <w:rPr>
          <w:rFonts w:ascii="Arial" w:hAnsi="Arial" w:cs="Arial"/>
          <w:color w:val="000000"/>
          <w:sz w:val="20"/>
          <w:szCs w:val="20"/>
          <w:lang w:eastAsia="de-AT"/>
        </w:rPr>
        <w:t>n</w:t>
      </w:r>
      <w:r w:rsidR="008C6BCC" w:rsidRPr="0030173F">
        <w:rPr>
          <w:rFonts w:ascii="Arial" w:hAnsi="Arial" w:cs="Arial"/>
          <w:color w:val="000000"/>
          <w:sz w:val="20"/>
          <w:szCs w:val="20"/>
          <w:lang w:eastAsia="de-AT"/>
        </w:rPr>
        <w:t xml:space="preserve"> Fassung von Geheimhaltungsrechten von Unternehmen kommen.</w:t>
      </w:r>
    </w:p>
    <w:p w:rsidR="00A50ED2" w:rsidRDefault="00A50ED2" w:rsidP="00C34672">
      <w:pPr>
        <w:spacing w:line="280" w:lineRule="exact"/>
        <w:ind w:left="709"/>
        <w:jc w:val="both"/>
        <w:rPr>
          <w:rFonts w:ascii="Arial" w:hAnsi="Arial" w:cs="Arial"/>
          <w:color w:val="000000"/>
          <w:sz w:val="20"/>
          <w:szCs w:val="20"/>
          <w:lang w:eastAsia="de-AT"/>
        </w:rPr>
      </w:pPr>
    </w:p>
    <w:p w:rsidR="00A50ED2" w:rsidRPr="00A50ED2" w:rsidRDefault="00A50ED2" w:rsidP="00A50ED2">
      <w:pPr>
        <w:pStyle w:val="Listenabsatz"/>
        <w:numPr>
          <w:ilvl w:val="0"/>
          <w:numId w:val="1"/>
        </w:numPr>
        <w:spacing w:line="280" w:lineRule="exact"/>
        <w:jc w:val="both"/>
        <w:rPr>
          <w:rFonts w:ascii="Arial" w:hAnsi="Arial" w:cs="Arial"/>
          <w:b/>
          <w:i/>
          <w:sz w:val="20"/>
          <w:szCs w:val="20"/>
          <w:u w:val="single"/>
        </w:rPr>
      </w:pPr>
      <w:r>
        <w:rPr>
          <w:rFonts w:ascii="Arial" w:hAnsi="Arial" w:cs="Arial"/>
          <w:b/>
          <w:i/>
          <w:sz w:val="20"/>
          <w:szCs w:val="20"/>
          <w:u w:val="single"/>
        </w:rPr>
        <w:t>Ankauf und Verwertung von Daten</w:t>
      </w:r>
      <w:r w:rsidR="00DC2925">
        <w:rPr>
          <w:rFonts w:ascii="Arial" w:hAnsi="Arial" w:cs="Arial"/>
          <w:b/>
          <w:i/>
          <w:sz w:val="20"/>
          <w:szCs w:val="20"/>
          <w:u w:val="single"/>
        </w:rPr>
        <w:t>sätz</w:t>
      </w:r>
      <w:r w:rsidR="006C6686">
        <w:rPr>
          <w:rFonts w:ascii="Arial" w:hAnsi="Arial" w:cs="Arial"/>
          <w:b/>
          <w:i/>
          <w:sz w:val="20"/>
          <w:szCs w:val="20"/>
          <w:u w:val="single"/>
        </w:rPr>
        <w:t>en</w:t>
      </w:r>
    </w:p>
    <w:p w:rsidR="00A50ED2" w:rsidRPr="00A50ED2" w:rsidRDefault="006C6686" w:rsidP="00A50ED2">
      <w:pPr>
        <w:spacing w:line="280" w:lineRule="exact"/>
        <w:ind w:left="709"/>
        <w:jc w:val="both"/>
        <w:rPr>
          <w:rFonts w:ascii="Arial" w:hAnsi="Arial" w:cs="Arial"/>
          <w:i/>
          <w:color w:val="000000"/>
          <w:sz w:val="20"/>
          <w:szCs w:val="20"/>
          <w:u w:val="single"/>
          <w:lang w:eastAsia="de-AT"/>
        </w:rPr>
      </w:pPr>
      <w:r>
        <w:rPr>
          <w:rFonts w:ascii="Arial" w:hAnsi="Arial" w:cs="Arial"/>
          <w:i/>
          <w:sz w:val="20"/>
          <w:szCs w:val="20"/>
          <w:u w:val="single"/>
        </w:rPr>
        <w:t>Internationale Erfahrungsberichte zeigen, dass sich der Ankauf von Datenträge</w:t>
      </w:r>
      <w:r w:rsidR="00DC2925">
        <w:rPr>
          <w:rFonts w:ascii="Arial" w:hAnsi="Arial" w:cs="Arial"/>
          <w:i/>
          <w:sz w:val="20"/>
          <w:szCs w:val="20"/>
          <w:u w:val="single"/>
        </w:rPr>
        <w:t>r</w:t>
      </w:r>
      <w:r>
        <w:rPr>
          <w:rFonts w:ascii="Arial" w:hAnsi="Arial" w:cs="Arial"/>
          <w:i/>
          <w:sz w:val="20"/>
          <w:szCs w:val="20"/>
          <w:u w:val="single"/>
        </w:rPr>
        <w:t xml:space="preserve">n mit Informationen über mögliche </w:t>
      </w:r>
      <w:proofErr w:type="spellStart"/>
      <w:r>
        <w:rPr>
          <w:rFonts w:ascii="Arial" w:hAnsi="Arial" w:cs="Arial"/>
          <w:i/>
          <w:sz w:val="20"/>
          <w:szCs w:val="20"/>
          <w:u w:val="single"/>
        </w:rPr>
        <w:t>SteuerhinterzieherInnen</w:t>
      </w:r>
      <w:proofErr w:type="spellEnd"/>
      <w:r>
        <w:rPr>
          <w:rFonts w:ascii="Arial" w:hAnsi="Arial" w:cs="Arial"/>
          <w:i/>
          <w:sz w:val="20"/>
          <w:szCs w:val="20"/>
          <w:u w:val="single"/>
        </w:rPr>
        <w:t xml:space="preserve"> und die Verwertung dieser Informationen als effektives Instrument zur Aufklärung von Steuerhinterziehung erwiesen hat. Deshalb sind auch in Österreich die rechtlichen</w:t>
      </w:r>
      <w:r w:rsidR="002116E6">
        <w:rPr>
          <w:rFonts w:ascii="Arial" w:hAnsi="Arial" w:cs="Arial"/>
          <w:i/>
          <w:sz w:val="20"/>
          <w:szCs w:val="20"/>
          <w:u w:val="single"/>
        </w:rPr>
        <w:t xml:space="preserve"> und administrativen</w:t>
      </w:r>
      <w:r>
        <w:rPr>
          <w:rFonts w:ascii="Arial" w:hAnsi="Arial" w:cs="Arial"/>
          <w:i/>
          <w:sz w:val="20"/>
          <w:szCs w:val="20"/>
          <w:u w:val="single"/>
        </w:rPr>
        <w:t xml:space="preserve"> Grundlagen zu schaffen, dass solche Datenträger angekauft und von den zuständigen Behörden und Gerichten insbesondere in Abgabenverfahren und Strafverfahren verwertet werden dürfen</w:t>
      </w:r>
      <w:r w:rsidR="002116E6">
        <w:rPr>
          <w:rFonts w:ascii="Arial" w:hAnsi="Arial" w:cs="Arial"/>
          <w:i/>
          <w:sz w:val="20"/>
          <w:szCs w:val="20"/>
          <w:u w:val="single"/>
        </w:rPr>
        <w:t>. Es müssen auch die Rahmenbedingungen geschaffen werden, dass diese Daten von den zuständigen Behörden und Gerichten auch tatsächlich entsprechend ausgewertet werden.</w:t>
      </w:r>
      <w:r>
        <w:rPr>
          <w:rFonts w:ascii="Arial" w:hAnsi="Arial" w:cs="Arial"/>
          <w:i/>
          <w:sz w:val="20"/>
          <w:szCs w:val="20"/>
          <w:u w:val="single"/>
        </w:rPr>
        <w:t xml:space="preserve">  </w:t>
      </w:r>
    </w:p>
    <w:p w:rsidR="00A50ED2" w:rsidRPr="008C6BCC" w:rsidRDefault="00A50ED2" w:rsidP="00C34672">
      <w:pPr>
        <w:spacing w:line="280" w:lineRule="exact"/>
        <w:ind w:left="709"/>
        <w:jc w:val="both"/>
        <w:rPr>
          <w:rFonts w:ascii="Arial" w:hAnsi="Arial" w:cs="Arial"/>
          <w:sz w:val="20"/>
          <w:szCs w:val="20"/>
        </w:rPr>
      </w:pPr>
      <w:bookmarkStart w:id="0" w:name="_GoBack"/>
      <w:bookmarkEnd w:id="0"/>
    </w:p>
    <w:p w:rsidR="00C34672" w:rsidRPr="008C6BCC" w:rsidRDefault="00C34672" w:rsidP="00C34672">
      <w:pPr>
        <w:spacing w:line="280" w:lineRule="exact"/>
        <w:jc w:val="both"/>
        <w:rPr>
          <w:rFonts w:ascii="Arial" w:hAnsi="Arial" w:cs="Arial"/>
          <w:sz w:val="20"/>
          <w:szCs w:val="20"/>
        </w:rPr>
      </w:pPr>
    </w:p>
    <w:p w:rsidR="00C34672" w:rsidRPr="00C34672" w:rsidRDefault="00C34672" w:rsidP="00C34672">
      <w:pPr>
        <w:spacing w:line="280" w:lineRule="exact"/>
        <w:jc w:val="both"/>
        <w:rPr>
          <w:rFonts w:ascii="Arial" w:hAnsi="Arial" w:cs="Arial"/>
          <w:sz w:val="20"/>
          <w:szCs w:val="20"/>
        </w:rPr>
      </w:pPr>
    </w:p>
    <w:p w:rsidR="00FF0F51" w:rsidRDefault="00FF0F51" w:rsidP="00FF0F51">
      <w:pPr>
        <w:spacing w:line="280" w:lineRule="exact"/>
        <w:jc w:val="both"/>
        <w:rPr>
          <w:rFonts w:ascii="Arial" w:hAnsi="Arial" w:cs="Arial"/>
          <w:sz w:val="20"/>
          <w:szCs w:val="20"/>
        </w:rPr>
      </w:pPr>
    </w:p>
    <w:p w:rsidR="00FF0F51" w:rsidRDefault="00FF0F51" w:rsidP="00FF0F51">
      <w:pPr>
        <w:spacing w:line="280" w:lineRule="exact"/>
        <w:jc w:val="both"/>
        <w:rPr>
          <w:rFonts w:ascii="Arial" w:hAnsi="Arial" w:cs="Arial"/>
          <w:sz w:val="20"/>
          <w:szCs w:val="20"/>
        </w:rPr>
      </w:pPr>
    </w:p>
    <w:p w:rsidR="00FF0F51" w:rsidRDefault="00FF0F51"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06383D" w:rsidRDefault="0006383D"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FF0F51" w:rsidRDefault="00FF0F51" w:rsidP="00FF0F51">
      <w:pPr>
        <w:spacing w:line="280" w:lineRule="exact"/>
        <w:jc w:val="both"/>
        <w:rPr>
          <w:rFonts w:ascii="Arial" w:hAnsi="Arial" w:cs="Arial"/>
          <w:sz w:val="20"/>
          <w:szCs w:val="20"/>
        </w:rPr>
      </w:pPr>
    </w:p>
    <w:p w:rsidR="0030173F" w:rsidRPr="00FF0F51" w:rsidRDefault="0030173F" w:rsidP="00FF0F51">
      <w:pPr>
        <w:spacing w:line="280" w:lineRule="exact"/>
        <w:jc w:val="both"/>
        <w:rPr>
          <w:rFonts w:ascii="Arial" w:hAnsi="Arial" w:cs="Arial"/>
          <w:sz w:val="20"/>
          <w:szCs w:val="20"/>
        </w:rPr>
      </w:pPr>
    </w:p>
    <w:p w:rsidR="00FF0F51" w:rsidRPr="00FF0F51" w:rsidRDefault="00FF0F51" w:rsidP="00FF0F51">
      <w:pPr>
        <w:spacing w:line="280" w:lineRule="exact"/>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5045DC" w:rsidRPr="00FF0F51" w:rsidTr="008938E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DC2925">
              <w:rPr>
                <w:sz w:val="16"/>
                <w:szCs w:val="16"/>
              </w:rPr>
            </w:r>
            <w:r w:rsidR="00DC2925">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DC2925">
              <w:rPr>
                <w:sz w:val="16"/>
                <w:szCs w:val="16"/>
              </w:rPr>
            </w:r>
            <w:r w:rsidR="00DC2925">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DC2925">
              <w:rPr>
                <w:sz w:val="16"/>
                <w:szCs w:val="16"/>
              </w:rPr>
            </w:r>
            <w:r w:rsidR="00DC2925">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DC2925">
              <w:rPr>
                <w:sz w:val="16"/>
                <w:szCs w:val="16"/>
              </w:rPr>
            </w:r>
            <w:r w:rsidR="00DC2925">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DC2925">
              <w:rPr>
                <w:sz w:val="16"/>
                <w:szCs w:val="16"/>
              </w:rPr>
            </w:r>
            <w:r w:rsidR="00DC2925">
              <w:rPr>
                <w:sz w:val="16"/>
                <w:szCs w:val="16"/>
              </w:rPr>
              <w:fldChar w:fldCharType="separate"/>
            </w:r>
            <w:r>
              <w:rPr>
                <w:sz w:val="16"/>
                <w:szCs w:val="16"/>
              </w:rPr>
              <w:fldChar w:fldCharType="end"/>
            </w:r>
            <w:bookmarkEnd w:id="4"/>
          </w:p>
        </w:tc>
      </w:tr>
    </w:tbl>
    <w:p w:rsidR="00FF0F51" w:rsidRPr="003F2336" w:rsidRDefault="00FF0F51" w:rsidP="003F2336">
      <w:pPr>
        <w:jc w:val="both"/>
        <w:rPr>
          <w:rFonts w:ascii="Arial" w:hAnsi="Arial" w:cs="Arial"/>
          <w:sz w:val="6"/>
          <w:szCs w:val="6"/>
        </w:rPr>
      </w:pPr>
    </w:p>
    <w:sectPr w:rsidR="00FF0F51" w:rsidRPr="003F2336" w:rsidSect="008705B8">
      <w:headerReference w:type="default" r:id="rId8"/>
      <w:footerReference w:type="default" r:id="rId9"/>
      <w:headerReference w:type="first" r:id="rId10"/>
      <w:footerReference w:type="first" r:id="rId11"/>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E9F" w:rsidRDefault="00ED5E9F">
      <w:r>
        <w:separator/>
      </w:r>
    </w:p>
  </w:endnote>
  <w:endnote w:type="continuationSeparator" w:id="0">
    <w:p w:rsidR="00ED5E9F" w:rsidRDefault="00ED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73F" w:rsidRPr="00DC2925" w:rsidRDefault="0030173F" w:rsidP="0030173F">
    <w:pPr>
      <w:pStyle w:val="Fuzeile"/>
      <w:jc w:val="center"/>
      <w:rPr>
        <w:lang w:val="de-AT"/>
      </w:rPr>
    </w:pPr>
    <w:r>
      <w:rPr>
        <w:rFonts w:ascii="Arial" w:hAnsi="Arial" w:cs="Arial"/>
        <w:sz w:val="16"/>
        <w:szCs w:val="16"/>
      </w:rPr>
      <w:fldChar w:fldCharType="begin"/>
    </w:r>
    <w:r w:rsidRPr="00DC2925">
      <w:rPr>
        <w:rFonts w:ascii="Arial" w:hAnsi="Arial" w:cs="Arial"/>
        <w:sz w:val="16"/>
        <w:szCs w:val="16"/>
        <w:lang w:val="de-AT"/>
      </w:rPr>
      <w:instrText xml:space="preserve"> FILENAME  \p  \* MERGEFORMAT </w:instrText>
    </w:r>
    <w:r>
      <w:rPr>
        <w:rFonts w:ascii="Arial" w:hAnsi="Arial" w:cs="Arial"/>
        <w:sz w:val="16"/>
        <w:szCs w:val="16"/>
      </w:rPr>
      <w:fldChar w:fldCharType="separate"/>
    </w:r>
    <w:r w:rsidR="00A85CF1" w:rsidRPr="00DC2925">
      <w:rPr>
        <w:rFonts w:ascii="Arial" w:hAnsi="Arial" w:cs="Arial"/>
        <w:noProof/>
        <w:sz w:val="16"/>
        <w:szCs w:val="16"/>
        <w:lang w:val="de-AT"/>
      </w:rPr>
      <w:t>H:\AK Vollversammlungen\166. VV Mai 2016\FSG11 - W - SR - Steueroasen Panama NEU.docx</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A85CF1">
      <w:rPr>
        <w:rFonts w:ascii="Arial" w:hAnsi="Arial" w:cs="Arial"/>
        <w:noProof/>
        <w:snapToGrid w:val="0"/>
        <w:sz w:val="16"/>
        <w:szCs w:val="16"/>
      </w:rPr>
      <w:t>3</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E9F" w:rsidRDefault="00ED5E9F">
      <w:r>
        <w:separator/>
      </w:r>
    </w:p>
  </w:footnote>
  <w:footnote w:type="continuationSeparator" w:id="0">
    <w:p w:rsidR="00ED5E9F" w:rsidRDefault="00ED5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3F2336">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70EDB"/>
    <w:multiLevelType w:val="hybridMultilevel"/>
    <w:tmpl w:val="4EEE7F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61F113B7"/>
    <w:multiLevelType w:val="hybridMultilevel"/>
    <w:tmpl w:val="CDE8E1F4"/>
    <w:lvl w:ilvl="0" w:tplc="60A031EE">
      <w:numFmt w:val="bullet"/>
      <w:lvlText w:val="-"/>
      <w:lvlJc w:val="left"/>
      <w:pPr>
        <w:ind w:left="1065" w:hanging="705"/>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11F4D"/>
    <w:rsid w:val="000159F7"/>
    <w:rsid w:val="000203D6"/>
    <w:rsid w:val="00032D84"/>
    <w:rsid w:val="00057EF1"/>
    <w:rsid w:val="0006383D"/>
    <w:rsid w:val="00090AD6"/>
    <w:rsid w:val="000914E8"/>
    <w:rsid w:val="000D034A"/>
    <w:rsid w:val="000D34C9"/>
    <w:rsid w:val="00110CB8"/>
    <w:rsid w:val="001242D4"/>
    <w:rsid w:val="001374A7"/>
    <w:rsid w:val="001376C6"/>
    <w:rsid w:val="0018667C"/>
    <w:rsid w:val="001B2D7A"/>
    <w:rsid w:val="001D59A4"/>
    <w:rsid w:val="002116E6"/>
    <w:rsid w:val="002B763C"/>
    <w:rsid w:val="002D5A3F"/>
    <w:rsid w:val="002F3239"/>
    <w:rsid w:val="0030173F"/>
    <w:rsid w:val="00395D90"/>
    <w:rsid w:val="00396946"/>
    <w:rsid w:val="003E14D6"/>
    <w:rsid w:val="003F2336"/>
    <w:rsid w:val="00430F66"/>
    <w:rsid w:val="00434C82"/>
    <w:rsid w:val="00452CFD"/>
    <w:rsid w:val="0047100A"/>
    <w:rsid w:val="00484F4A"/>
    <w:rsid w:val="004A0D73"/>
    <w:rsid w:val="004C587E"/>
    <w:rsid w:val="005045DC"/>
    <w:rsid w:val="00593860"/>
    <w:rsid w:val="00601E5E"/>
    <w:rsid w:val="00693630"/>
    <w:rsid w:val="006C6686"/>
    <w:rsid w:val="006D6EAF"/>
    <w:rsid w:val="007D6197"/>
    <w:rsid w:val="00820411"/>
    <w:rsid w:val="008705B8"/>
    <w:rsid w:val="00882032"/>
    <w:rsid w:val="008938E3"/>
    <w:rsid w:val="008C6BCC"/>
    <w:rsid w:val="00935448"/>
    <w:rsid w:val="00945E80"/>
    <w:rsid w:val="00990FB2"/>
    <w:rsid w:val="009C5C9B"/>
    <w:rsid w:val="00A50ED2"/>
    <w:rsid w:val="00A60722"/>
    <w:rsid w:val="00A85CF1"/>
    <w:rsid w:val="00B211DB"/>
    <w:rsid w:val="00B647E5"/>
    <w:rsid w:val="00BA3D87"/>
    <w:rsid w:val="00BD3869"/>
    <w:rsid w:val="00C34672"/>
    <w:rsid w:val="00C67832"/>
    <w:rsid w:val="00CB6D74"/>
    <w:rsid w:val="00D20E3E"/>
    <w:rsid w:val="00D3405D"/>
    <w:rsid w:val="00D36E73"/>
    <w:rsid w:val="00DC2925"/>
    <w:rsid w:val="00E5636C"/>
    <w:rsid w:val="00ED5E9F"/>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C34672"/>
    <w:pPr>
      <w:ind w:left="720"/>
      <w:contextualSpacing/>
    </w:pPr>
  </w:style>
  <w:style w:type="paragraph" w:styleId="Sprechblasentext">
    <w:name w:val="Balloon Text"/>
    <w:basedOn w:val="Standard"/>
    <w:link w:val="SprechblasentextZchn"/>
    <w:rsid w:val="00BD3869"/>
    <w:rPr>
      <w:rFonts w:ascii="Tahoma" w:hAnsi="Tahoma" w:cs="Tahoma"/>
      <w:sz w:val="16"/>
      <w:szCs w:val="16"/>
    </w:rPr>
  </w:style>
  <w:style w:type="character" w:customStyle="1" w:styleId="SprechblasentextZchn">
    <w:name w:val="Sprechblasentext Zchn"/>
    <w:basedOn w:val="Absatz-Standardschriftart"/>
    <w:link w:val="Sprechblasentext"/>
    <w:rsid w:val="00BD3869"/>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C34672"/>
    <w:pPr>
      <w:ind w:left="720"/>
      <w:contextualSpacing/>
    </w:pPr>
  </w:style>
  <w:style w:type="paragraph" w:styleId="Sprechblasentext">
    <w:name w:val="Balloon Text"/>
    <w:basedOn w:val="Standard"/>
    <w:link w:val="SprechblasentextZchn"/>
    <w:rsid w:val="00BD3869"/>
    <w:rPr>
      <w:rFonts w:ascii="Tahoma" w:hAnsi="Tahoma" w:cs="Tahoma"/>
      <w:sz w:val="16"/>
      <w:szCs w:val="16"/>
    </w:rPr>
  </w:style>
  <w:style w:type="character" w:customStyle="1" w:styleId="SprechblasentextZchn">
    <w:name w:val="Sprechblasentext Zchn"/>
    <w:basedOn w:val="Absatz-Standardschriftart"/>
    <w:link w:val="Sprechblasentext"/>
    <w:rsid w:val="00BD3869"/>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3BC193BF.dotm</Template>
  <TotalTime>0</TotalTime>
  <Pages>3</Pages>
  <Words>1033</Words>
  <Characters>6514</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2</cp:revision>
  <cp:lastPrinted>2016-05-19T08:57:00Z</cp:lastPrinted>
  <dcterms:created xsi:type="dcterms:W3CDTF">2016-05-19T09:09:00Z</dcterms:created>
  <dcterms:modified xsi:type="dcterms:W3CDTF">2016-05-19T09:09:00Z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