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keepNext/>
        <w:suppressAutoHyphens w:val="false"/>
        <w:spacing w:lineRule="exact" w:line="280" w:before="0" w:after="0"/>
        <w:rPr>
          <w:rFonts w:ascii="Arial" w:hAnsi="Arial" w:cs="Arial"/>
          <w:sz w:val="20"/>
          <w:szCs w:val="20"/>
          <w:lang w:eastAsia="de-DE"/>
        </w:rPr>
      </w:pPr>
      <w:r>
        <w:rPr>
          <w:rFonts w:cs="Arial" w:ascii="Arial" w:hAnsi="Arial"/>
          <w:sz w:val="20"/>
          <w:szCs w:val="20"/>
          <w:lang w:eastAsia="de-DE"/>
        </w:rPr>
        <w:t>Gemeinsamer Antrag Nr. 4</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Fraktion sozialdemokratischer GewerkschafterInnen</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Fraktion ÖAAB/Christliche Gewerkschafter,</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AUGE/UG - Alternative und Grüne GewerkschafterInnen/Unabhängige GewerkschafterInnen,</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Liste Perspektive,</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Arbeitsgemeinschaft unabhängiger ArbeitnehmerInnen,</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des Gewerkschaftlichen Linksblocks,</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Kommunistischen Gewerkschaftsinitiative-International und</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der Bunten Demokratie für Alle</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an die 167. Vollversammlung der Kammer für Arbeiter und Angestellte für Wien</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t>am 14. November 2016</w:t>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r>
    </w:p>
    <w:p>
      <w:pPr>
        <w:pStyle w:val="Normal"/>
        <w:spacing w:lineRule="exact" w:line="280"/>
        <w:rPr>
          <w:rFonts w:ascii="Arial" w:hAnsi="Arial" w:eastAsia="Times New Roman" w:cs="Arial"/>
          <w:sz w:val="20"/>
          <w:lang w:val="de-DE" w:eastAsia="de-DE"/>
        </w:rPr>
      </w:pPr>
      <w:r>
        <w:rPr>
          <w:rFonts w:eastAsia="Times New Roman" w:cs="Arial" w:ascii="Arial" w:hAnsi="Arial"/>
          <w:sz w:val="20"/>
          <w:lang w:val="de-DE" w:eastAsia="de-DE"/>
        </w:rPr>
      </w:r>
    </w:p>
    <w:p>
      <w:pPr>
        <w:pStyle w:val="Normal"/>
        <w:rPr>
          <w:b/>
          <w:b/>
          <w:bCs/>
          <w:sz w:val="36"/>
          <w:szCs w:val="36"/>
        </w:rPr>
      </w:pPr>
      <w:r>
        <w:rPr>
          <w:b/>
          <w:bCs/>
          <w:sz w:val="36"/>
          <w:szCs w:val="36"/>
        </w:rPr>
        <w:t>Rücknahme der Verschärfungen bei Wohnungsvergaben</w:t>
      </w:r>
    </w:p>
    <w:p>
      <w:pPr>
        <w:pStyle w:val="Normal"/>
        <w:rPr/>
      </w:pPr>
      <w:r>
        <w:rPr/>
      </w:r>
    </w:p>
    <w:p>
      <w:pPr>
        <w:pStyle w:val="Normal"/>
        <w:rPr/>
      </w:pPr>
      <w:r>
        <w:rPr/>
      </w:r>
    </w:p>
    <w:p>
      <w:pPr>
        <w:pStyle w:val="Normal"/>
        <w:rPr/>
      </w:pPr>
      <w:r>
        <w:rPr/>
        <w:t xml:space="preserve">Mit 1.7.2015 änderte die Stadt Wien die Richtlinien der Vergabe von geförderten Wohnungen durch Wiener Wohnen. Neben Verbesserungen für Wohnungssuchende wurden jedoch auch Verschärfungen eingeführt: </w:t>
      </w:r>
    </w:p>
    <w:p>
      <w:pPr>
        <w:pStyle w:val="Normal"/>
        <w:rPr/>
      </w:pPr>
      <w:r>
        <w:rPr/>
        <w:t xml:space="preserve">Nun ist auch für die Aufnahme in die Liste für geförderte Wohnungen Bedingung, dass man in den letzten zwei Jahren durchgehend an derselben Meldeadresse in Wien gewohnt hat. </w:t>
      </w:r>
    </w:p>
    <w:p>
      <w:pPr>
        <w:pStyle w:val="Normal"/>
        <w:rPr/>
      </w:pPr>
      <w:r>
        <w:rPr/>
      </w:r>
    </w:p>
    <w:p>
      <w:pPr>
        <w:pStyle w:val="Normal"/>
        <w:rPr/>
      </w:pPr>
      <w:r>
        <w:rPr/>
        <w:t xml:space="preserve">Dies führt zur absurden Situation, dass teilweise genau jene, die es am dringendsten brauchen, aus der Liste von Wiener Wohnen hinausfallen. </w:t>
      </w:r>
    </w:p>
    <w:p>
      <w:pPr>
        <w:pStyle w:val="Normal"/>
        <w:rPr/>
      </w:pPr>
      <w:r>
        <w:rPr/>
      </w:r>
    </w:p>
    <w:p>
      <w:pPr>
        <w:pStyle w:val="Normal"/>
        <w:rPr/>
      </w:pPr>
      <w:r>
        <w:rPr/>
      </w:r>
    </w:p>
    <w:p>
      <w:pPr>
        <w:pStyle w:val="Normal"/>
        <w:rPr>
          <w:b/>
          <w:b/>
          <w:sz w:val="22"/>
          <w:szCs w:val="22"/>
          <w:u w:val="single"/>
        </w:rPr>
      </w:pPr>
      <w:r>
        <w:rPr>
          <w:b/>
          <w:color w:val="1C1C1C"/>
          <w:sz w:val="22"/>
          <w:szCs w:val="22"/>
          <w:u w:val="single"/>
        </w:rPr>
        <w:t>Deshalb beschließt die Vollversammlung der Arbeiterkammer Wien:</w:t>
      </w:r>
    </w:p>
    <w:p>
      <w:pPr>
        <w:pStyle w:val="Normal"/>
        <w:rPr/>
      </w:pPr>
      <w:r>
        <w:rPr/>
      </w:r>
    </w:p>
    <w:p>
      <w:pPr>
        <w:pStyle w:val="Normal"/>
        <w:rPr/>
      </w:pPr>
      <w:r>
        <w:rPr/>
      </w:r>
    </w:p>
    <w:p>
      <w:pPr>
        <w:pStyle w:val="Normal"/>
        <w:rPr/>
      </w:pPr>
      <w:r>
        <w:rPr/>
      </w:r>
    </w:p>
    <w:p>
      <w:pPr>
        <w:pStyle w:val="Normal"/>
        <w:numPr>
          <w:ilvl w:val="0"/>
          <w:numId w:val="1"/>
        </w:numPr>
        <w:rPr>
          <w:i/>
          <w:i/>
          <w:u w:val="single"/>
        </w:rPr>
      </w:pPr>
      <w:bookmarkStart w:id="0" w:name="_GoBack"/>
      <w:bookmarkEnd w:id="0"/>
      <w:r>
        <w:rPr>
          <w:i/>
          <w:u w:val="single"/>
        </w:rPr>
        <w:t>Die AK Wien fordert, dass die Zugangs-Regelungen für das Wiener Wohn-Ticket und bei Wohnungsvergaben durch die Stadt bzw das Land Wien insofern geändert werden, dass dafür ein zwei Jahre durchgehender Hauptwohnsitz in Wien (auch an verschiedenen Wiener Adressen) ausreicht, und das Erschwernis ein zwei Jahre durchgehender Hauptwohnsitz „an der aktuellen Wiener Adresse“ entfällt.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rFonts w:ascii="Arial" w:hAnsi="Arial" w:cs="Arial"/>
          <w:sz w:val="18"/>
          <w:szCs w:val="20"/>
        </w:rPr>
      </w:pPr>
      <w:r>
        <w:rPr>
          <w:rFonts w:cs="Arial" w:ascii="Arial" w:hAnsi="Arial"/>
          <w:sz w:val="18"/>
          <w:szCs w:val="20"/>
        </w:rPr>
      </w:r>
    </w:p>
    <w:tbl>
      <w:tblPr>
        <w:tblW w:w="9071" w:type="dxa"/>
        <w:jc w:val="lef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70" w:type="dxa"/>
          <w:bottom w:w="0" w:type="dxa"/>
          <w:right w:w="70" w:type="dxa"/>
        </w:tblCellMar>
        <w:tblLook w:val="0000" w:noVBand="0" w:noHBand="0" w:firstRow="0" w:lastRow="0" w:firstColumn="0" w:lastColumn="0"/>
      </w:tblPr>
      <w:tblGrid>
        <w:gridCol w:w="1814"/>
        <w:gridCol w:w="1814"/>
        <w:gridCol w:w="1814"/>
        <w:gridCol w:w="1814"/>
        <w:gridCol w:w="1815"/>
      </w:tblGrid>
      <w:tr>
        <w:trPr>
          <w:trHeight w:val="454" w:hRule="atLeast"/>
        </w:trPr>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634_2140673998"/>
            <w:bookmarkStart w:id="3" w:name="__Fieldmark__634_2140673998"/>
            <w:bookmarkStart w:id="4" w:name="__Fieldmark__634_2140673998"/>
            <w:bookmarkEnd w:id="4"/>
            <w:bookmarkEnd w:id="1"/>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640_2140673998"/>
            <w:bookmarkStart w:id="6" w:name="__Fieldmark__640_2140673998"/>
            <w:bookmarkStart w:id="7" w:name="__Fieldmark__640_2140673998"/>
            <w:bookmarkEnd w:id="7"/>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645_2140673998"/>
            <w:bookmarkStart w:id="10" w:name="__Fieldmark__645_2140673998"/>
            <w:bookmarkStart w:id="11" w:name="__Fieldmark__645_2140673998"/>
            <w:bookmarkEnd w:id="11"/>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651_2140673998"/>
            <w:bookmarkStart w:id="14" w:name="__Fieldmark__651_2140673998"/>
            <w:bookmarkStart w:id="15" w:name="__Fieldmark__651_2140673998"/>
            <w:bookmarkEnd w:id="15"/>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657_2140673998"/>
            <w:bookmarkStart w:id="18" w:name="__Fieldmark__657_2140673998"/>
            <w:bookmarkStart w:id="19" w:name="__Fieldmark__657_2140673998"/>
            <w:bookmarkEnd w:id="19"/>
            <w:bookmarkEnd w:id="16"/>
            <w:r>
              <w:rPr>
                <w:rFonts w:cs="Arial" w:ascii="Arial" w:hAnsi="Arial"/>
                <w:sz w:val="16"/>
                <w:szCs w:val="16"/>
              </w:rPr>
            </w:r>
            <w:r>
              <w:fldChar w:fldCharType="end"/>
            </w:r>
          </w:p>
        </w:tc>
      </w:tr>
    </w:tbl>
    <w:p>
      <w:pPr>
        <w:pStyle w:val="Normal"/>
        <w:jc w:val="both"/>
        <w:rPr/>
      </w:pPr>
      <w:r>
        <w:rPr/>
      </w:r>
    </w:p>
    <w:sectPr>
      <w:footerReference w:type="default" r:id="rId2"/>
      <w:type w:val="nextPage"/>
      <w:pgSz w:w="11906" w:h="16838"/>
      <w:pgMar w:left="1417" w:right="1417" w:header="0"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16"/>
        <w:szCs w:val="16"/>
      </w:rPr>
      <w:fldChar w:fldCharType="begin"/>
    </w:r>
    <w:r>
      <w:instrText> FILENAME \p </w:instrText>
    </w:r>
    <w:r>
      <w:fldChar w:fldCharType="separate"/>
    </w:r>
    <w:r>
      <w:t>/tmp/mozilla_auge0/Gem04 - B - Wohnen.docx</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de-AT" w:eastAsia="de-A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SimSun" w:cs="Times New Roman"/>
      <w:color w:val="auto"/>
      <w:sz w:val="24"/>
      <w:szCs w:val="24"/>
      <w:lang w:eastAsia="zh-CN" w:val="de-AT" w:bidi="ar-SA"/>
    </w:rPr>
  </w:style>
  <w:style w:type="paragraph" w:styleId="Berschrift1">
    <w:name w:val="Heading 1"/>
    <w:basedOn w:val="Normal"/>
    <w:link w:val="berschrift1Zchn"/>
    <w:qFormat/>
    <w:rsid w:val="00af25fb"/>
    <w:pPr>
      <w:suppressAutoHyphens w:val="true"/>
      <w:spacing w:before="280" w:after="72"/>
      <w:outlineLvl w:val="0"/>
    </w:pPr>
    <w:rPr>
      <w:rFonts w:eastAsia="Times New Roman"/>
      <w:b/>
      <w:bCs/>
      <w:sz w:val="31"/>
      <w:szCs w:val="31"/>
      <w:lang w:val="de-DE"/>
    </w:rPr>
  </w:style>
  <w:style w:type="character" w:styleId="DefaultParagraphFont" w:default="1">
    <w:name w:val="Default Paragraph Font"/>
    <w:semiHidden/>
    <w:qFormat/>
    <w:rPr/>
  </w:style>
  <w:style w:type="character" w:styleId="Berschrift1Zchn" w:customStyle="1">
    <w:name w:val="Überschrift 1 Zchn"/>
    <w:link w:val="berschrift1"/>
    <w:qFormat/>
    <w:rsid w:val="00af25fb"/>
    <w:rPr>
      <w:rFonts w:eastAsia="Times New Roman"/>
      <w:b/>
      <w:bCs/>
      <w:sz w:val="31"/>
      <w:szCs w:val="31"/>
      <w:lang w:val="de-DE" w:eastAsia="zh-CN"/>
    </w:rPr>
  </w:style>
  <w:style w:type="character" w:styleId="TextkrperZchn" w:customStyle="1">
    <w:name w:val="Textkörper Zchn"/>
    <w:link w:val="Textkrper"/>
    <w:uiPriority w:val="99"/>
    <w:semiHidden/>
    <w:qFormat/>
    <w:rsid w:val="00af25fb"/>
    <w:rPr>
      <w:sz w:val="24"/>
      <w:szCs w:val="24"/>
      <w:lang w:eastAsia="zh-CN"/>
    </w:rPr>
  </w:style>
  <w:style w:type="character" w:styleId="KopfzeileZchn" w:customStyle="1">
    <w:name w:val="Kopfzeile Zchn"/>
    <w:link w:val="Kopfzeile"/>
    <w:uiPriority w:val="99"/>
    <w:qFormat/>
    <w:rsid w:val="00af25fb"/>
    <w:rPr>
      <w:sz w:val="24"/>
      <w:szCs w:val="24"/>
      <w:lang w:eastAsia="zh-CN"/>
    </w:rPr>
  </w:style>
  <w:style w:type="character" w:styleId="FuzeileZchn" w:customStyle="1">
    <w:name w:val="Fußzeile Zchn"/>
    <w:link w:val="Fuzeile"/>
    <w:uiPriority w:val="99"/>
    <w:qFormat/>
    <w:rsid w:val="00af25fb"/>
    <w:rPr>
      <w:sz w:val="24"/>
      <w:szCs w:val="24"/>
      <w:lang w:eastAsia="zh-C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link w:val="TextkrperZchn"/>
    <w:uiPriority w:val="99"/>
    <w:semiHidden/>
    <w:unhideWhenUsed/>
    <w:rsid w:val="00af25fb"/>
    <w:pPr>
      <w:spacing w:before="0" w:after="12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link w:val="KopfzeileZchn"/>
    <w:uiPriority w:val="99"/>
    <w:unhideWhenUsed/>
    <w:rsid w:val="00af25fb"/>
    <w:pPr>
      <w:tabs>
        <w:tab w:val="center" w:pos="4513" w:leader="none"/>
        <w:tab w:val="right" w:pos="9026" w:leader="none"/>
      </w:tabs>
    </w:pPr>
    <w:rPr/>
  </w:style>
  <w:style w:type="paragraph" w:styleId="Fuzeile">
    <w:name w:val="Footer"/>
    <w:basedOn w:val="Normal"/>
    <w:link w:val="FuzeileZchn"/>
    <w:uiPriority w:val="99"/>
    <w:unhideWhenUsed/>
    <w:rsid w:val="00af25fb"/>
    <w:pPr>
      <w:tabs>
        <w:tab w:val="center" w:pos="4513" w:leader="none"/>
        <w:tab w:val="right" w:pos="9026" w:leader="none"/>
      </w:tabs>
    </w:pPr>
    <w:rPr/>
  </w:style>
  <w:style w:type="numbering" w:styleId="NoList" w:default="1">
    <w:name w:val="No List"/>
    <w:semiHidden/>
    <w:qFormat/>
  </w:style>
  <w:style w:type="table" w:default="1" w:styleId="NormaleTabelle">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C15D88D6.dotm</Template>
  <TotalTime>0</TotalTime>
  <Application>LibreOffice/5.1.4.2$Linux_X86_64 LibreOffice_project/10m0$Build-2</Application>
  <Pages>1</Pages>
  <Words>204</Words>
  <CharactersWithSpaces>1503</CharactersWithSpaces>
  <Paragraphs>3</Paragraphs>
  <Company>it der 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2016-11-09T06:23:00Z</dcterms:created>
  <dc:creator>Betriebsrat</dc:creator>
  <dc:description/>
  <dc:language>de-AT</dc:language>
  <cp:lastModifiedBy>AFFENZELLER-GREIF Dina</cp:lastModifiedBy>
  <dcterms:modified xsi:type="dcterms:W3CDTF">2016-11-09T06:24:00Z</dcterms:modified>
  <cp:revision>3</cp:revision>
  <dc:subject/>
  <dc:title>Gemeinsamer Antrag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 der akwien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