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63" w:rsidRDefault="00D17B1B" w:rsidP="00E76AFE">
      <w:pPr>
        <w:rPr>
          <w:b/>
          <w:lang w:val="de-AT"/>
        </w:rPr>
      </w:pPr>
      <w:r w:rsidRPr="00D17B1B">
        <w:rPr>
          <w:b/>
          <w:lang w:val="de-AT"/>
        </w:rPr>
        <w:t>Mindestsicherung auch für Subsidiär Schutzberechtigte!</w:t>
      </w:r>
    </w:p>
    <w:p w:rsidR="0037777A" w:rsidRDefault="00A91970" w:rsidP="00E76AFE">
      <w:r w:rsidRPr="00A91970">
        <w:rPr>
          <w:lang w:val="de-AT"/>
        </w:rPr>
        <w:t>Subsidiär Schutzberechtigte</w:t>
      </w:r>
      <w:r w:rsidRPr="00A91970">
        <w:t xml:space="preserve"> s</w:t>
      </w:r>
      <w:r w:rsidR="0037777A" w:rsidRPr="00A91970">
        <w:t xml:space="preserve">ind Personen, deren Asylantrag zwar abgewiesen wurde, aber deren Leben oder Gesundheit im Herkunftsland bedroht wird und daher einen Schutz vor Abschiebung benötigen. Sie sind daher weder </w:t>
      </w:r>
      <w:proofErr w:type="spellStart"/>
      <w:r w:rsidR="0037777A" w:rsidRPr="00A91970">
        <w:t>AsylwerberInnen</w:t>
      </w:r>
      <w:proofErr w:type="spellEnd"/>
      <w:r w:rsidR="0037777A" w:rsidRPr="00A91970">
        <w:t xml:space="preserve"> noch Asylberechtigte. Mehr als ein Drittel</w:t>
      </w:r>
      <w:r>
        <w:t xml:space="preserve"> sind</w:t>
      </w:r>
      <w:r w:rsidR="0037777A" w:rsidRPr="00A91970">
        <w:t xml:space="preserve"> Kinder und Jugendliche. </w:t>
      </w:r>
      <w:r w:rsidR="00FA5D76">
        <w:t>Der Aufenthaltstitel wird alle 2 Jahre geprüft, wie lange diese Menschen tatsächlich in Österreich bleiben, kann niemand vorhersehen.</w:t>
      </w:r>
    </w:p>
    <w:p w:rsidR="002D422C" w:rsidRDefault="002D422C" w:rsidP="002D422C">
      <w:r>
        <w:t xml:space="preserve">Im Verfassungsgerichtsurteil zur Aufhebung der Deckelung der Mindestsicherung in NÖ wird angeführt: </w:t>
      </w:r>
    </w:p>
    <w:p w:rsidR="00B56599" w:rsidRDefault="002D422C" w:rsidP="002D422C">
      <w:r w:rsidRPr="002D422C">
        <w:rPr>
          <w:i/>
        </w:rPr>
        <w:t>Im Unterschied zu dieser Personengrupp</w:t>
      </w:r>
      <w:r w:rsidR="00B56599">
        <w:rPr>
          <w:i/>
        </w:rPr>
        <w:t>e haben Asylberechtigte ihr Her</w:t>
      </w:r>
      <w:r w:rsidRPr="002D422C">
        <w:rPr>
          <w:i/>
        </w:rPr>
        <w:t>kunftsland nicht aus freiem Entschluss verlas</w:t>
      </w:r>
      <w:r w:rsidR="00B56599">
        <w:rPr>
          <w:i/>
        </w:rPr>
        <w:t>sen und ihren Wohnsitz in Öster</w:t>
      </w:r>
      <w:r w:rsidRPr="002D422C">
        <w:rPr>
          <w:i/>
        </w:rPr>
        <w:t xml:space="preserve">reich nicht frei gewählt (vgl. sinngemäß EGMR 27.9.2011, Fall </w:t>
      </w:r>
      <w:r w:rsidRPr="002D422C">
        <w:rPr>
          <w:i/>
          <w:iCs/>
        </w:rPr>
        <w:t>Bah</w:t>
      </w:r>
      <w:r w:rsidRPr="002D422C">
        <w:rPr>
          <w:i/>
        </w:rPr>
        <w:t xml:space="preserve">, </w:t>
      </w:r>
      <w:proofErr w:type="spellStart"/>
      <w:r w:rsidRPr="002D422C">
        <w:rPr>
          <w:i/>
        </w:rPr>
        <w:t>Appl</w:t>
      </w:r>
      <w:proofErr w:type="spellEnd"/>
      <w:r w:rsidRPr="002D422C">
        <w:rPr>
          <w:i/>
        </w:rPr>
        <w:t xml:space="preserve">. 56.328/07, </w:t>
      </w:r>
      <w:proofErr w:type="spellStart"/>
      <w:r w:rsidRPr="002D422C">
        <w:rPr>
          <w:i/>
        </w:rPr>
        <w:t>Rz</w:t>
      </w:r>
      <w:proofErr w:type="spellEnd"/>
      <w:r w:rsidRPr="002D422C">
        <w:rPr>
          <w:i/>
        </w:rPr>
        <w:t xml:space="preserve"> 45; 6.11.2012, </w:t>
      </w:r>
      <w:r w:rsidRPr="002D422C">
        <w:rPr>
          <w:i/>
          <w:iCs/>
        </w:rPr>
        <w:t>Hode und Abdi</w:t>
      </w:r>
      <w:r w:rsidRPr="002D422C">
        <w:rPr>
          <w:i/>
        </w:rPr>
        <w:t xml:space="preserve">, </w:t>
      </w:r>
      <w:proofErr w:type="spellStart"/>
      <w:r w:rsidRPr="002D422C">
        <w:rPr>
          <w:i/>
        </w:rPr>
        <w:t>Appl</w:t>
      </w:r>
      <w:proofErr w:type="spellEnd"/>
      <w:r w:rsidRPr="002D422C">
        <w:rPr>
          <w:i/>
        </w:rPr>
        <w:t xml:space="preserve">. 22.341/09, </w:t>
      </w:r>
      <w:proofErr w:type="spellStart"/>
      <w:r w:rsidRPr="002D422C">
        <w:rPr>
          <w:i/>
        </w:rPr>
        <w:t>Rz</w:t>
      </w:r>
      <w:proofErr w:type="spellEnd"/>
      <w:r w:rsidRPr="002D422C">
        <w:rPr>
          <w:i/>
        </w:rPr>
        <w:t xml:space="preserve"> 47). Asylberechtige mussten ihr Herkunftsland wegen "wohlbegründeter Furcht, aus Gründen der Rasse, Religion, Nationalität, Zugehörigkeit zu einer bestimmten sozialen Gruppe oder der politischen Gesinnung verfolgt zu werden" verlassen und können aus denselben Gründen (derzeit) nicht dorthin zurückkehren.</w:t>
      </w:r>
      <w:r>
        <w:t xml:space="preserve"> </w:t>
      </w:r>
    </w:p>
    <w:p w:rsidR="002D422C" w:rsidRDefault="002D422C" w:rsidP="002D422C">
      <w:r>
        <w:t xml:space="preserve">Dies trifft auch auf Subsidiär Schutzberechtigte zu! </w:t>
      </w:r>
      <w:r w:rsidR="00B56599">
        <w:t>Manche davon sind Christen, viele sind Kinder,…….</w:t>
      </w:r>
    </w:p>
    <w:p w:rsidR="00D17B1B" w:rsidRDefault="00D17B1B" w:rsidP="00E76AFE">
      <w:pPr>
        <w:rPr>
          <w:lang w:val="de-AT"/>
        </w:rPr>
      </w:pPr>
      <w:r>
        <w:rPr>
          <w:lang w:val="de-AT"/>
        </w:rPr>
        <w:t>In Niederösterreich erhalten subsidiär Schutzberechtigte keine Mindestsicherung. Sie müssen von der Grundversorgung leben.</w:t>
      </w:r>
    </w:p>
    <w:p w:rsidR="00A91970" w:rsidRDefault="00A91970" w:rsidP="00A91970">
      <w:r>
        <w:t xml:space="preserve">Im Verfassungsgerichtsurteil zur Aufhebung der Deckelung der Mindestsicherung in NÖ wird angeführt: </w:t>
      </w:r>
    </w:p>
    <w:p w:rsidR="00A91970" w:rsidRPr="00B56599" w:rsidRDefault="00A91970" w:rsidP="00A91970">
      <w:pPr>
        <w:rPr>
          <w:i/>
        </w:rPr>
      </w:pPr>
      <w:r w:rsidRPr="00B56599">
        <w:rPr>
          <w:i/>
        </w:rPr>
        <w:t xml:space="preserve">Leistungen zur Deckung des </w:t>
      </w:r>
      <w:r w:rsidRPr="00B56599">
        <w:rPr>
          <w:i/>
          <w:u w:val="single"/>
        </w:rPr>
        <w:t>notwendigen</w:t>
      </w:r>
      <w:r w:rsidRPr="00B56599">
        <w:rPr>
          <w:i/>
        </w:rPr>
        <w:t xml:space="preserve"> Lebensunterhaltes:</w:t>
      </w:r>
    </w:p>
    <w:p w:rsidR="00A91970" w:rsidRPr="00B56599" w:rsidRDefault="00A91970" w:rsidP="00A91970">
      <w:pPr>
        <w:pStyle w:val="Listenabsatz"/>
        <w:rPr>
          <w:i/>
        </w:rPr>
      </w:pPr>
      <w:r w:rsidRPr="00B56599">
        <w:rPr>
          <w:i/>
        </w:rPr>
        <w:t xml:space="preserve">Leistungen zur Deckung des notwendigen Lebensunterhaltes umfassen den Aufwand für die regelmäßig gegebenen Bedürfnisse zur Führung eines </w:t>
      </w:r>
      <w:r w:rsidR="002D422C" w:rsidRPr="00B56599">
        <w:rPr>
          <w:i/>
        </w:rPr>
        <w:t>menschenwürdigen</w:t>
      </w:r>
      <w:r w:rsidRPr="00B56599">
        <w:rPr>
          <w:i/>
        </w:rPr>
        <w:t xml:space="preserve"> Lebens, insbesondere für Nahrung, Bekleidung, Körperpflege, Hausrat, Energie sowie andere persönliche Bedürfnisse wie die angemessene soziale und kulturelle Teilhabe.</w:t>
      </w:r>
    </w:p>
    <w:p w:rsidR="00B56599" w:rsidRPr="00B56599" w:rsidRDefault="00B56599" w:rsidP="00B56599">
      <w:r>
        <w:t xml:space="preserve">Der Verfassungsgerichtshof spricht von notwendigen Leistungen, nicht von Luxus. Es geht um einen Mindeststandard, der schutzbedürftigen Personen ein menschenwürdiges Leben ermöglicht. </w:t>
      </w:r>
    </w:p>
    <w:p w:rsidR="002D422C" w:rsidRDefault="00B56599" w:rsidP="00A91970">
      <w:r>
        <w:t>Des Weiterns</w:t>
      </w:r>
      <w:r w:rsidR="00A91970">
        <w:t xml:space="preserve"> wird dort festgehalten: </w:t>
      </w:r>
      <w:r w:rsidR="00A91970" w:rsidRPr="00A91970">
        <w:rPr>
          <w:i/>
        </w:rPr>
        <w:t xml:space="preserve">Die Bedarfsorientierte Mindestsicherung solle ein menschenwürdiges Leben ermöglichen. Es sei daher nicht nachvollziehbar, dass der dafür benötigte Bedarf für Menschen, die kürzer als fünf Jahre im Inland </w:t>
      </w:r>
      <w:proofErr w:type="spellStart"/>
      <w:r w:rsidR="00A91970" w:rsidRPr="00A91970">
        <w:rPr>
          <w:i/>
        </w:rPr>
        <w:t>aufhältig</w:t>
      </w:r>
      <w:proofErr w:type="spellEnd"/>
      <w:r w:rsidR="00A91970" w:rsidRPr="00A91970">
        <w:rPr>
          <w:i/>
        </w:rPr>
        <w:t xml:space="preserve"> seien, geringer sei.</w:t>
      </w:r>
      <w:r w:rsidR="00A91970">
        <w:t xml:space="preserve"> </w:t>
      </w:r>
    </w:p>
    <w:p w:rsidR="00A91970" w:rsidRPr="00A91970" w:rsidRDefault="00A91970" w:rsidP="00A91970">
      <w:pPr>
        <w:rPr>
          <w:color w:val="FF0000"/>
        </w:rPr>
      </w:pPr>
      <w:r>
        <w:t xml:space="preserve">Sinngemäß trifft dies wohl auch auf Subsidiär Schutzberechtigte zu.  </w:t>
      </w:r>
    </w:p>
    <w:p w:rsidR="00A91970" w:rsidRDefault="00A91970" w:rsidP="00A91970">
      <w:pPr>
        <w:rPr>
          <w:lang w:val="de-AT"/>
        </w:rPr>
      </w:pPr>
      <w:r>
        <w:rPr>
          <w:lang w:val="de-AT"/>
        </w:rPr>
        <w:t xml:space="preserve">Die Herausnahme der subsidiär Schutzberechtigten hat zwei negative Seiten. Oft kommt uns als Staat für die Grundversorgung als Sachleistungen teurer, als wenn die Betroffenen eine Mindestsicherung erhalten. Zudem wird dieser Personengruppe die Integration deutlich erschwert. </w:t>
      </w:r>
    </w:p>
    <w:p w:rsidR="002D422C" w:rsidRDefault="002D422C" w:rsidP="002D422C">
      <w:pPr>
        <w:rPr>
          <w:b/>
          <w:i/>
        </w:rPr>
      </w:pPr>
      <w:r>
        <w:t xml:space="preserve">Das Urteil sagt weiter: </w:t>
      </w:r>
      <w:r w:rsidRPr="002D422C">
        <w:rPr>
          <w:i/>
        </w:rPr>
        <w:t>Wie der Verfassungsgerichtshof bereits ausgeführt hat, steht es dem Gesetzgeber – unter Einhaltung europa- und völkerrechtlicher Verpflichtungen – frei, Differenzierungen auf Grund der Beständigkeit des Aufenthaltsrechtes vorzunehmen, soweit zumindest die für ein menschenwürdiges Dasein erforderlichen Leistungen im zwingend erforderlichen Umfang gewährt werden (</w:t>
      </w:r>
      <w:proofErr w:type="spellStart"/>
      <w:r w:rsidRPr="002D422C">
        <w:rPr>
          <w:i/>
        </w:rPr>
        <w:t>VfGH</w:t>
      </w:r>
      <w:proofErr w:type="spellEnd"/>
      <w:r w:rsidRPr="002D422C">
        <w:rPr>
          <w:i/>
        </w:rPr>
        <w:t xml:space="preserve"> 28.6.2017, E 3297/2016 </w:t>
      </w:r>
      <w:proofErr w:type="spellStart"/>
      <w:r w:rsidRPr="002D422C">
        <w:rPr>
          <w:i/>
        </w:rPr>
        <w:t>Rz</w:t>
      </w:r>
      <w:proofErr w:type="spellEnd"/>
      <w:r w:rsidRPr="002D422C">
        <w:rPr>
          <w:i/>
        </w:rPr>
        <w:t xml:space="preserve"> 23). </w:t>
      </w:r>
    </w:p>
    <w:p w:rsidR="002D422C" w:rsidRPr="002D422C" w:rsidRDefault="002D422C" w:rsidP="002D422C">
      <w:r w:rsidRPr="002D422C">
        <w:t xml:space="preserve">Es geht also um Leistungen die für ein menschenwürdiges Dasein zwingend erforderlich sind, </w:t>
      </w:r>
      <w:r>
        <w:t xml:space="preserve">und die werden in der Grundversorgung nicht gedeckt. Die Grundversorgung gewährleistet </w:t>
      </w:r>
      <w:r w:rsidR="00B56599">
        <w:t>nicht</w:t>
      </w:r>
      <w:r>
        <w:t xml:space="preserve"> die die zu einem menschenwürdigen Leben erforderlichen Mindeststandards. Dazu sagt das VGH-Urteil an anderer Stelle:</w:t>
      </w:r>
    </w:p>
    <w:p w:rsidR="008F7CAB" w:rsidRDefault="002D422C" w:rsidP="002D422C">
      <w:pPr>
        <w:rPr>
          <w:i/>
        </w:rPr>
      </w:pPr>
      <w:r w:rsidRPr="002D422C">
        <w:rPr>
          <w:i/>
        </w:rPr>
        <w:t xml:space="preserve">Ist in einem vom Gesetzgeber eingerichteten System der Sicherung zur Gewährung eines zu einem menschenwürdigen Leben erforderlichen Mindeststandards G 136/2017-19 ua.* </w:t>
      </w:r>
      <w:r w:rsidRPr="002D422C">
        <w:rPr>
          <w:i/>
        </w:rPr>
        <w:lastRenderedPageBreak/>
        <w:t>07.03.2018</w:t>
      </w:r>
      <w:r>
        <w:rPr>
          <w:i/>
        </w:rPr>
        <w:t xml:space="preserve"> </w:t>
      </w:r>
      <w:r w:rsidRPr="002D422C">
        <w:rPr>
          <w:i/>
        </w:rPr>
        <w:t>der Zweck, dem betroffenen Personenkreis das Existenzminimum zu gewähren, nicht mehr gewährleistet, dann verfehlt ein solc</w:t>
      </w:r>
      <w:r w:rsidR="00B56599">
        <w:rPr>
          <w:i/>
        </w:rPr>
        <w:t>hes Sicherungssystem offensicht</w:t>
      </w:r>
      <w:r w:rsidRPr="002D422C">
        <w:rPr>
          <w:i/>
        </w:rPr>
        <w:t>lich insoweit seine Aufgabenstellung (</w:t>
      </w:r>
      <w:proofErr w:type="spellStart"/>
      <w:r w:rsidRPr="002D422C">
        <w:rPr>
          <w:i/>
        </w:rPr>
        <w:t>VfSlg</w:t>
      </w:r>
      <w:proofErr w:type="spellEnd"/>
      <w:r w:rsidRPr="002D422C">
        <w:rPr>
          <w:i/>
        </w:rPr>
        <w:t>. 19.698/2012).</w:t>
      </w:r>
    </w:p>
    <w:p w:rsidR="00B56599" w:rsidRDefault="00B56599" w:rsidP="002D422C">
      <w:r>
        <w:t xml:space="preserve">Wenn die Grundversorgung den notwendigen Mindeststandard nicht erfüllt, ist sie demgemäß ein Sicherungssystem, dass seine Aufgabenstellung verfehlt. </w:t>
      </w:r>
    </w:p>
    <w:p w:rsidR="00B56599" w:rsidRDefault="00B56599" w:rsidP="002D422C">
      <w:r>
        <w:t>Die UNHCR hat das österreichische System für Subsidiär Schutzberechtigte geprüft,</w:t>
      </w:r>
      <w:r w:rsidR="00FA5D76">
        <w:t xml:space="preserve"> kommt zu dem selben Schluss,</w:t>
      </w:r>
      <w:r>
        <w:t xml:space="preserve"> und leitet </w:t>
      </w:r>
      <w:r w:rsidR="00FA5D76">
        <w:t xml:space="preserve">daraus </w:t>
      </w:r>
      <w:bookmarkStart w:id="0" w:name="_GoBack"/>
      <w:bookmarkEnd w:id="0"/>
      <w:r>
        <w:t xml:space="preserve">unter anderem folgende Empfehlungen ab: </w:t>
      </w:r>
    </w:p>
    <w:p w:rsidR="00B56599" w:rsidRPr="00B56599" w:rsidRDefault="00B56599" w:rsidP="00B56599">
      <w:r w:rsidRPr="00B56599">
        <w:rPr>
          <w:b/>
          <w:bCs/>
        </w:rPr>
        <w:t>UNHCR-Empfehlungen</w:t>
      </w:r>
      <w:r>
        <w:rPr>
          <w:b/>
          <w:bCs/>
        </w:rPr>
        <w:t xml:space="preserve"> für Österreich</w:t>
      </w:r>
    </w:p>
    <w:p w:rsidR="00B56599" w:rsidRPr="0037777A" w:rsidRDefault="00B56599" w:rsidP="00B56599">
      <w:pPr>
        <w:numPr>
          <w:ilvl w:val="0"/>
          <w:numId w:val="14"/>
        </w:numPr>
      </w:pPr>
      <w:r w:rsidRPr="0037777A">
        <w:t>Da die Grundversorgung dauerhaft keine adäquate Unterbringungsform ist, sollten subsidiär Schutzberechtigte ebenso wie Flüchtlinge spätestens nach vier Monaten aus dem Grundversorgungssystem entlassen und gleichberechtigt in die Bedarfsorientierte Mindestsicherung aufgenommen werden.</w:t>
      </w:r>
    </w:p>
    <w:p w:rsidR="00981C3F" w:rsidRDefault="00981C3F" w:rsidP="00D17B1B"/>
    <w:p w:rsidR="00A91970" w:rsidRPr="00B56599" w:rsidRDefault="00B56599" w:rsidP="00D17B1B">
      <w:pPr>
        <w:rPr>
          <w:b/>
          <w:lang w:val="de-AT"/>
        </w:rPr>
      </w:pPr>
      <w:r>
        <w:t xml:space="preserve">Deswegen fordert die Vollversammlung der Arbeiterkammer: </w:t>
      </w:r>
    </w:p>
    <w:p w:rsidR="00D17B1B" w:rsidRDefault="00D17B1B" w:rsidP="00E76AFE">
      <w:pPr>
        <w:rPr>
          <w:b/>
          <w:lang w:val="de-AT"/>
        </w:rPr>
      </w:pPr>
      <w:r w:rsidRPr="00B56599">
        <w:rPr>
          <w:b/>
          <w:lang w:val="de-AT"/>
        </w:rPr>
        <w:t>In Zukunft soll auch diese Personengruppe w</w:t>
      </w:r>
      <w:r w:rsidR="00B91E45" w:rsidRPr="00B56599">
        <w:rPr>
          <w:b/>
          <w:lang w:val="de-AT"/>
        </w:rPr>
        <w:t>ieder Mindestsicherung erhalten und w</w:t>
      </w:r>
      <w:r w:rsidRPr="00B56599">
        <w:rPr>
          <w:b/>
          <w:lang w:val="de-AT"/>
        </w:rPr>
        <w:t xml:space="preserve">ieder in den Kreis der Anspruchsberechtigten </w:t>
      </w:r>
      <w:r w:rsidR="00B91E45" w:rsidRPr="00B56599">
        <w:rPr>
          <w:b/>
          <w:lang w:val="de-AT"/>
        </w:rPr>
        <w:t xml:space="preserve">im Niederösterreichischen Mindestsicherungsgesetz </w:t>
      </w:r>
      <w:r w:rsidRPr="00B56599">
        <w:rPr>
          <w:b/>
          <w:lang w:val="de-AT"/>
        </w:rPr>
        <w:t>aufgenommen werden.</w:t>
      </w:r>
    </w:p>
    <w:sectPr w:rsidR="00D17B1B" w:rsidSect="00577123">
      <w:headerReference w:type="default" r:id="rId8"/>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1E" w:rsidRDefault="004B7A1E" w:rsidP="007E3340">
      <w:pPr>
        <w:spacing w:after="0" w:line="240" w:lineRule="auto"/>
      </w:pPr>
      <w:r>
        <w:separator/>
      </w:r>
    </w:p>
  </w:endnote>
  <w:endnote w:type="continuationSeparator" w:id="0">
    <w:p w:rsidR="004B7A1E" w:rsidRDefault="004B7A1E"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Titillium Bd">
    <w:altName w:val="Arial"/>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Up">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1E" w:rsidRDefault="004B7A1E" w:rsidP="007E3340">
      <w:pPr>
        <w:spacing w:after="0" w:line="240" w:lineRule="auto"/>
      </w:pPr>
      <w:r>
        <w:separator/>
      </w:r>
    </w:p>
  </w:footnote>
  <w:footnote w:type="continuationSeparator" w:id="0">
    <w:p w:rsidR="004B7A1E" w:rsidRDefault="004B7A1E" w:rsidP="007E3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40" w:rsidRDefault="007E3340">
    <w:pPr>
      <w:pStyle w:val="Kopfzeile"/>
    </w:pPr>
  </w:p>
  <w:p w:rsidR="007E3340" w:rsidRDefault="00F87666">
    <w:pPr>
      <w:pStyle w:val="Kopfzeile"/>
    </w:pPr>
    <w:r>
      <w:rPr>
        <w:noProof/>
        <w:lang w:eastAsia="de-DE"/>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743A53"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e30613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6" w15:restartNumberingAfterBreak="0">
    <w:nsid w:val="09B87DFC"/>
    <w:multiLevelType w:val="hybridMultilevel"/>
    <w:tmpl w:val="4678E9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E13199"/>
    <w:multiLevelType w:val="multilevel"/>
    <w:tmpl w:val="DCB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0"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2" w15:restartNumberingAfterBreak="0">
    <w:nsid w:val="664775AB"/>
    <w:multiLevelType w:val="multilevel"/>
    <w:tmpl w:val="C0A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11"/>
  </w:num>
  <w:num w:numId="5">
    <w:abstractNumId w:val="13"/>
  </w:num>
  <w:num w:numId="6">
    <w:abstractNumId w:val="5"/>
  </w:num>
  <w:num w:numId="7">
    <w:abstractNumId w:val="4"/>
  </w:num>
  <w:num w:numId="8">
    <w:abstractNumId w:val="3"/>
  </w:num>
  <w:num w:numId="9">
    <w:abstractNumId w:val="2"/>
  </w:num>
  <w:num w:numId="10">
    <w:abstractNumId w:val="1"/>
  </w:num>
  <w:num w:numId="11">
    <w:abstractNumId w:val="0"/>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1B"/>
    <w:rsid w:val="00027D53"/>
    <w:rsid w:val="000B7563"/>
    <w:rsid w:val="00141A83"/>
    <w:rsid w:val="001626C5"/>
    <w:rsid w:val="00182BEB"/>
    <w:rsid w:val="00182D5C"/>
    <w:rsid w:val="00224A92"/>
    <w:rsid w:val="0023705D"/>
    <w:rsid w:val="00270260"/>
    <w:rsid w:val="002979C2"/>
    <w:rsid w:val="002B4E93"/>
    <w:rsid w:val="002D422C"/>
    <w:rsid w:val="003156B3"/>
    <w:rsid w:val="00317D3F"/>
    <w:rsid w:val="00343BEB"/>
    <w:rsid w:val="0037777A"/>
    <w:rsid w:val="00392DD4"/>
    <w:rsid w:val="003A53D5"/>
    <w:rsid w:val="003B0771"/>
    <w:rsid w:val="003B4EB1"/>
    <w:rsid w:val="004005AB"/>
    <w:rsid w:val="00406FC2"/>
    <w:rsid w:val="004A6D28"/>
    <w:rsid w:val="004B7A1E"/>
    <w:rsid w:val="004E3ADB"/>
    <w:rsid w:val="00564AF3"/>
    <w:rsid w:val="005729B1"/>
    <w:rsid w:val="00577123"/>
    <w:rsid w:val="005C7463"/>
    <w:rsid w:val="00626970"/>
    <w:rsid w:val="00635EF2"/>
    <w:rsid w:val="006670AC"/>
    <w:rsid w:val="00667620"/>
    <w:rsid w:val="00681FA6"/>
    <w:rsid w:val="00695D8C"/>
    <w:rsid w:val="006B7130"/>
    <w:rsid w:val="006C5259"/>
    <w:rsid w:val="006D1FE8"/>
    <w:rsid w:val="006F2F4E"/>
    <w:rsid w:val="00722158"/>
    <w:rsid w:val="007C6694"/>
    <w:rsid w:val="007E3340"/>
    <w:rsid w:val="007E5C0D"/>
    <w:rsid w:val="00894EEA"/>
    <w:rsid w:val="008B0812"/>
    <w:rsid w:val="008F7CAB"/>
    <w:rsid w:val="00920A98"/>
    <w:rsid w:val="00926731"/>
    <w:rsid w:val="00926B46"/>
    <w:rsid w:val="0093274A"/>
    <w:rsid w:val="00981C3F"/>
    <w:rsid w:val="009C4C38"/>
    <w:rsid w:val="009E1255"/>
    <w:rsid w:val="009E535C"/>
    <w:rsid w:val="00A25DF0"/>
    <w:rsid w:val="00A27C65"/>
    <w:rsid w:val="00A32774"/>
    <w:rsid w:val="00A754D4"/>
    <w:rsid w:val="00A91970"/>
    <w:rsid w:val="00AD4DF8"/>
    <w:rsid w:val="00AE6C4F"/>
    <w:rsid w:val="00AE7411"/>
    <w:rsid w:val="00B31123"/>
    <w:rsid w:val="00B56599"/>
    <w:rsid w:val="00B91E45"/>
    <w:rsid w:val="00BF1E63"/>
    <w:rsid w:val="00C34437"/>
    <w:rsid w:val="00C43DFD"/>
    <w:rsid w:val="00C72627"/>
    <w:rsid w:val="00CB4EBE"/>
    <w:rsid w:val="00D12EEF"/>
    <w:rsid w:val="00D17B1B"/>
    <w:rsid w:val="00D31029"/>
    <w:rsid w:val="00D75723"/>
    <w:rsid w:val="00D80033"/>
    <w:rsid w:val="00D97FBC"/>
    <w:rsid w:val="00DB512B"/>
    <w:rsid w:val="00DB5F11"/>
    <w:rsid w:val="00DE3B1D"/>
    <w:rsid w:val="00E232F3"/>
    <w:rsid w:val="00E23C7D"/>
    <w:rsid w:val="00E306DF"/>
    <w:rsid w:val="00E56586"/>
    <w:rsid w:val="00E76AFE"/>
    <w:rsid w:val="00E9726D"/>
    <w:rsid w:val="00EC0AB6"/>
    <w:rsid w:val="00EE5627"/>
    <w:rsid w:val="00EF2B07"/>
    <w:rsid w:val="00EF366A"/>
    <w:rsid w:val="00EF6573"/>
    <w:rsid w:val="00F049B1"/>
    <w:rsid w:val="00F10D46"/>
    <w:rsid w:val="00F13ECD"/>
    <w:rsid w:val="00F458E8"/>
    <w:rsid w:val="00F87666"/>
    <w:rsid w:val="00F93120"/>
    <w:rsid w:val="00F93E9A"/>
    <w:rsid w:val="00FA5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99B9E-4F31-4391-87D6-8CE53DD2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A25DF0"/>
    <w:pPr>
      <w:keepNext/>
      <w:keepLines/>
      <w:spacing w:before="240" w:after="0"/>
      <w:jc w:val="left"/>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A25DF0"/>
    <w:rPr>
      <w:rFonts w:ascii="Titillium Bd" w:eastAsiaTheme="majorEastAsia" w:hAnsi="Titillium Bd" w:cstheme="majorBidi"/>
      <w:b/>
      <w:bCs/>
      <w:sz w:val="20"/>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A25DF0"/>
    <w:pPr>
      <w:numPr>
        <w:numId w:val="2"/>
      </w:numPr>
      <w:spacing w:after="60"/>
      <w:ind w:left="680" w:hanging="340"/>
      <w:contextualSpacing w:val="0"/>
      <w:jc w:val="left"/>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A25DF0"/>
    <w:rPr>
      <w:rFonts w:ascii="Titillium" w:hAnsi="Titillium"/>
      <w:sz w:val="20"/>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7806">
      <w:bodyDiv w:val="1"/>
      <w:marLeft w:val="0"/>
      <w:marRight w:val="0"/>
      <w:marTop w:val="0"/>
      <w:marBottom w:val="0"/>
      <w:divBdr>
        <w:top w:val="none" w:sz="0" w:space="0" w:color="auto"/>
        <w:left w:val="none" w:sz="0" w:space="0" w:color="auto"/>
        <w:bottom w:val="none" w:sz="0" w:space="0" w:color="auto"/>
        <w:right w:val="none" w:sz="0" w:space="0" w:color="auto"/>
      </w:divBdr>
    </w:div>
    <w:div w:id="446856839">
      <w:bodyDiv w:val="1"/>
      <w:marLeft w:val="0"/>
      <w:marRight w:val="0"/>
      <w:marTop w:val="0"/>
      <w:marBottom w:val="0"/>
      <w:divBdr>
        <w:top w:val="none" w:sz="0" w:space="0" w:color="auto"/>
        <w:left w:val="none" w:sz="0" w:space="0" w:color="auto"/>
        <w:bottom w:val="none" w:sz="0" w:space="0" w:color="auto"/>
        <w:right w:val="none" w:sz="0" w:space="0" w:color="auto"/>
      </w:divBdr>
    </w:div>
    <w:div w:id="14298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K CD">
  <a:themeElements>
    <a:clrScheme name="AK CD">
      <a:dk1>
        <a:sysClr val="windowText" lastClr="000000"/>
      </a:dk1>
      <a:lt1>
        <a:srgbClr val="FFFFFF"/>
      </a:lt1>
      <a:dk2>
        <a:srgbClr val="F4F4F4"/>
      </a:dk2>
      <a:lt2>
        <a:srgbClr val="FFFFFF"/>
      </a:lt2>
      <a:accent1>
        <a:srgbClr val="E30613"/>
      </a:accent1>
      <a:accent2>
        <a:srgbClr val="3F3F3F"/>
      </a:accent2>
      <a:accent3>
        <a:srgbClr val="FB797F"/>
      </a:accent3>
      <a:accent4>
        <a:srgbClr val="757070"/>
      </a:accent4>
      <a:accent5>
        <a:srgbClr val="FDA1A5"/>
      </a:accent5>
      <a:accent6>
        <a:srgbClr val="BFBFBF"/>
      </a:accent6>
      <a:hlink>
        <a:srgbClr val="7F7F7F"/>
      </a:hlink>
      <a:folHlink>
        <a:srgbClr val="3F3F3F"/>
      </a:folHlink>
    </a:clrScheme>
    <a:fontScheme name="Benutzerdefiniert 21">
      <a:majorFont>
        <a:latin typeface="Titillium Bd"/>
        <a:ea typeface=""/>
        <a:cs typeface=""/>
      </a:majorFont>
      <a:minorFont>
        <a:latin typeface="Titill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BC39-6F9E-4D86-BC33-01109734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 Maximilian</dc:creator>
  <cp:keywords/>
  <dc:description/>
  <cp:lastModifiedBy>Taibl, Stefan</cp:lastModifiedBy>
  <cp:revision>5</cp:revision>
  <cp:lastPrinted>2016-01-12T07:27:00Z</cp:lastPrinted>
  <dcterms:created xsi:type="dcterms:W3CDTF">2018-04-04T10:00:00Z</dcterms:created>
  <dcterms:modified xsi:type="dcterms:W3CDTF">2018-04-05T08:44:00Z</dcterms:modified>
</cp:coreProperties>
</file>