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F7" w:rsidRDefault="00A659BF">
      <w:r>
        <w:rPr>
          <w:noProof/>
          <w:sz w:val="20"/>
          <w:lang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1763395" cy="856615"/>
            <wp:effectExtent l="19050" t="0" r="8255" b="0"/>
            <wp:wrapTight wrapText="bothSides">
              <wp:wrapPolygon edited="0">
                <wp:start x="-233" y="0"/>
                <wp:lineTo x="-233" y="21136"/>
                <wp:lineTo x="21701" y="21136"/>
                <wp:lineTo x="21701" y="0"/>
                <wp:lineTo x="-233" y="0"/>
              </wp:wrapPolygon>
            </wp:wrapTight>
            <wp:docPr id="2" name="Bild 2" descr="ÖAAB-Christl Gew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AAB-Christl Gewer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8F7">
        <w:tab/>
      </w:r>
      <w:r w:rsidR="001828F7">
        <w:tab/>
      </w:r>
      <w:r w:rsidR="001828F7">
        <w:tab/>
      </w:r>
      <w:r w:rsidR="001828F7">
        <w:tab/>
      </w:r>
    </w:p>
    <w:p w:rsidR="001828F7" w:rsidRDefault="001828F7"/>
    <w:p w:rsidR="001828F7" w:rsidRDefault="001828F7"/>
    <w:p w:rsidR="001828F7" w:rsidRDefault="001828F7"/>
    <w:p w:rsidR="00F64013" w:rsidRDefault="00F64013"/>
    <w:p w:rsidR="001828F7" w:rsidRDefault="001828F7">
      <w:pPr>
        <w:jc w:val="center"/>
        <w:rPr>
          <w:rFonts w:ascii="Arial" w:hAnsi="Arial" w:cs="Arial"/>
        </w:rPr>
      </w:pPr>
    </w:p>
    <w:p w:rsidR="00C60483" w:rsidRPr="00427F83" w:rsidRDefault="00C60483">
      <w:pPr>
        <w:jc w:val="center"/>
        <w:rPr>
          <w:rFonts w:ascii="Arial" w:hAnsi="Arial" w:cs="Arial"/>
        </w:rPr>
      </w:pPr>
    </w:p>
    <w:p w:rsidR="001828F7" w:rsidRPr="00FD26FB" w:rsidRDefault="00415BD1">
      <w:pPr>
        <w:jc w:val="center"/>
        <w:rPr>
          <w:rFonts w:ascii="Arial" w:hAnsi="Arial" w:cs="Arial"/>
          <w:b/>
          <w:bCs/>
          <w:color w:val="FF0000"/>
        </w:rPr>
      </w:pPr>
      <w:r w:rsidRPr="00427F83">
        <w:rPr>
          <w:rFonts w:ascii="Arial" w:hAnsi="Arial" w:cs="Arial"/>
          <w:b/>
          <w:bCs/>
        </w:rPr>
        <w:t xml:space="preserve">Antrag Nr. </w:t>
      </w:r>
      <w:r w:rsidR="003C78F2">
        <w:rPr>
          <w:rFonts w:ascii="Arial" w:hAnsi="Arial" w:cs="Arial"/>
          <w:b/>
          <w:bCs/>
        </w:rPr>
        <w:t>04</w:t>
      </w:r>
    </w:p>
    <w:p w:rsidR="001828F7" w:rsidRPr="00427F83" w:rsidRDefault="001828F7">
      <w:pPr>
        <w:jc w:val="center"/>
        <w:rPr>
          <w:rFonts w:ascii="Arial" w:hAnsi="Arial" w:cs="Arial"/>
          <w:b/>
          <w:bCs/>
        </w:rPr>
      </w:pPr>
      <w:r w:rsidRPr="00427F83">
        <w:rPr>
          <w:rFonts w:ascii="Arial" w:hAnsi="Arial" w:cs="Arial"/>
          <w:b/>
          <w:bCs/>
        </w:rPr>
        <w:t>der Fraktion ÖAAB</w:t>
      </w:r>
      <w:r w:rsidR="003C78F2">
        <w:rPr>
          <w:rFonts w:ascii="Arial" w:hAnsi="Arial" w:cs="Arial"/>
          <w:b/>
          <w:bCs/>
        </w:rPr>
        <w:t xml:space="preserve"> </w:t>
      </w:r>
      <w:r w:rsidRPr="00427F83">
        <w:rPr>
          <w:rFonts w:ascii="Arial" w:hAnsi="Arial" w:cs="Arial"/>
          <w:b/>
          <w:bCs/>
        </w:rPr>
        <w:t>/</w:t>
      </w:r>
      <w:r w:rsidR="003C78F2">
        <w:rPr>
          <w:rFonts w:ascii="Arial" w:hAnsi="Arial" w:cs="Arial"/>
          <w:b/>
          <w:bCs/>
        </w:rPr>
        <w:t xml:space="preserve"> </w:t>
      </w:r>
      <w:r w:rsidRPr="00427F83">
        <w:rPr>
          <w:rFonts w:ascii="Arial" w:hAnsi="Arial" w:cs="Arial"/>
          <w:b/>
          <w:bCs/>
        </w:rPr>
        <w:t>Christliche Gewerkschafter</w:t>
      </w:r>
    </w:p>
    <w:p w:rsidR="001828F7" w:rsidRPr="00427F83" w:rsidRDefault="00E83CA0">
      <w:pPr>
        <w:jc w:val="center"/>
        <w:rPr>
          <w:rFonts w:ascii="Arial" w:hAnsi="Arial" w:cs="Arial"/>
          <w:b/>
          <w:bCs/>
        </w:rPr>
      </w:pPr>
      <w:r w:rsidRPr="00427F83">
        <w:rPr>
          <w:rFonts w:ascii="Arial" w:hAnsi="Arial" w:cs="Arial"/>
          <w:b/>
          <w:bCs/>
        </w:rPr>
        <w:t xml:space="preserve">an die </w:t>
      </w:r>
      <w:r w:rsidR="006C4E55">
        <w:rPr>
          <w:rFonts w:ascii="Arial" w:hAnsi="Arial" w:cs="Arial"/>
          <w:b/>
          <w:bCs/>
        </w:rPr>
        <w:t>170</w:t>
      </w:r>
      <w:r w:rsidR="001828F7" w:rsidRPr="00427F83">
        <w:rPr>
          <w:rFonts w:ascii="Arial" w:hAnsi="Arial" w:cs="Arial"/>
          <w:b/>
          <w:bCs/>
        </w:rPr>
        <w:t>. Vollversammlung</w:t>
      </w:r>
    </w:p>
    <w:p w:rsidR="001828F7" w:rsidRPr="00427F83" w:rsidRDefault="001828F7">
      <w:pPr>
        <w:jc w:val="center"/>
        <w:rPr>
          <w:rFonts w:ascii="Arial" w:hAnsi="Arial" w:cs="Arial"/>
          <w:b/>
          <w:bCs/>
        </w:rPr>
      </w:pPr>
      <w:r w:rsidRPr="00427F83">
        <w:rPr>
          <w:rFonts w:ascii="Arial" w:hAnsi="Arial" w:cs="Arial"/>
          <w:b/>
          <w:bCs/>
        </w:rPr>
        <w:t>der Kammer für Arbeiter und Angestellte für Wien</w:t>
      </w:r>
    </w:p>
    <w:p w:rsidR="000B6124" w:rsidRDefault="000B6124" w:rsidP="00EF7FB5"/>
    <w:p w:rsidR="00F64013" w:rsidRDefault="00F64013" w:rsidP="00EF7FB5"/>
    <w:p w:rsidR="00F64013" w:rsidRDefault="00F64013" w:rsidP="00EF7FB5"/>
    <w:p w:rsidR="002A2222" w:rsidRPr="00F64013" w:rsidRDefault="006C4E55" w:rsidP="00F64013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u w:val="single"/>
          <w:lang w:val="de-DE"/>
        </w:rPr>
      </w:pPr>
      <w:r w:rsidRPr="00F64013">
        <w:rPr>
          <w:rFonts w:ascii="Arial" w:hAnsi="Arial" w:cs="Arial"/>
          <w:b/>
          <w:u w:val="single"/>
          <w:lang w:val="de-DE"/>
        </w:rPr>
        <w:t>Indexanpassung des Veranlagungsfreibetrag</w:t>
      </w:r>
      <w:r w:rsidR="00C60483">
        <w:rPr>
          <w:rFonts w:ascii="Arial" w:hAnsi="Arial" w:cs="Arial"/>
          <w:b/>
          <w:u w:val="single"/>
          <w:lang w:val="de-DE"/>
        </w:rPr>
        <w:t>s</w:t>
      </w:r>
    </w:p>
    <w:p w:rsidR="006C4E55" w:rsidRPr="00F64013" w:rsidRDefault="00DF1916" w:rsidP="00F64013">
      <w:pPr>
        <w:pStyle w:val="berschrift2"/>
        <w:spacing w:line="320" w:lineRule="atLeast"/>
        <w:rPr>
          <w:rFonts w:ascii="Arial" w:hAnsi="Arial" w:cs="Arial"/>
          <w:i w:val="0"/>
          <w:sz w:val="24"/>
          <w:szCs w:val="24"/>
        </w:rPr>
      </w:pPr>
      <w:r w:rsidRPr="00F64013">
        <w:rPr>
          <w:rFonts w:ascii="Arial" w:hAnsi="Arial" w:cs="Arial"/>
          <w:i w:val="0"/>
          <w:sz w:val="24"/>
          <w:szCs w:val="24"/>
        </w:rPr>
        <w:t xml:space="preserve">Die Vollversammlung der Wiener Arbeiterkammer fordert den Gesetzgeber auf, </w:t>
      </w:r>
      <w:r w:rsidR="006C4E55" w:rsidRPr="00F64013">
        <w:rPr>
          <w:rFonts w:ascii="Arial" w:hAnsi="Arial" w:cs="Arial"/>
          <w:i w:val="0"/>
          <w:sz w:val="24"/>
          <w:szCs w:val="24"/>
        </w:rPr>
        <w:t xml:space="preserve">den seit Jahren nicht mehr erhöhten Veranlagungsfreibetrag </w:t>
      </w:r>
      <w:r w:rsidR="005533C6" w:rsidRPr="00F64013">
        <w:rPr>
          <w:rFonts w:ascii="Arial" w:hAnsi="Arial" w:cs="Arial"/>
          <w:i w:val="0"/>
          <w:sz w:val="24"/>
          <w:szCs w:val="24"/>
        </w:rPr>
        <w:t>(§ 41</w:t>
      </w:r>
      <w:r w:rsidR="006C4E55" w:rsidRPr="00F64013">
        <w:rPr>
          <w:rFonts w:ascii="Arial" w:hAnsi="Arial" w:cs="Arial"/>
          <w:i w:val="0"/>
          <w:sz w:val="24"/>
          <w:szCs w:val="24"/>
        </w:rPr>
        <w:t xml:space="preserve"> EStG 1988) anzupassen.</w:t>
      </w:r>
    </w:p>
    <w:p w:rsidR="00CD2B2D" w:rsidRPr="00F64013" w:rsidRDefault="00CD2B2D" w:rsidP="00375991">
      <w:pPr>
        <w:tabs>
          <w:tab w:val="left" w:pos="709"/>
          <w:tab w:val="left" w:pos="2268"/>
          <w:tab w:val="left" w:leader="underscore" w:pos="4820"/>
        </w:tabs>
        <w:jc w:val="both"/>
        <w:rPr>
          <w:rFonts w:ascii="Arial" w:hAnsi="Arial" w:cs="Arial"/>
          <w:b/>
        </w:rPr>
      </w:pPr>
    </w:p>
    <w:p w:rsidR="00375991" w:rsidRPr="00F64013" w:rsidRDefault="00375991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</w:rPr>
      </w:pPr>
    </w:p>
    <w:p w:rsidR="00F64013" w:rsidRDefault="00F64013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  <w:u w:val="single"/>
        </w:rPr>
      </w:pPr>
      <w:r w:rsidRPr="00F64013">
        <w:rPr>
          <w:rFonts w:ascii="Arial" w:hAnsi="Arial" w:cs="Arial"/>
          <w:u w:val="single"/>
        </w:rPr>
        <w:t>Begründung:</w:t>
      </w:r>
    </w:p>
    <w:p w:rsidR="003C78F2" w:rsidRPr="00F64013" w:rsidRDefault="003C78F2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  <w:u w:val="single"/>
        </w:rPr>
      </w:pPr>
    </w:p>
    <w:p w:rsidR="005533C6" w:rsidRPr="00F64013" w:rsidRDefault="005533C6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</w:rPr>
      </w:pPr>
      <w:r w:rsidRPr="00F64013">
        <w:rPr>
          <w:rFonts w:ascii="Arial" w:hAnsi="Arial" w:cs="Arial"/>
        </w:rPr>
        <w:t>Der § 41 Abs 1 des Einkommensteuergesetz 1988 lautet wie folgt:</w:t>
      </w:r>
    </w:p>
    <w:p w:rsidR="005533C6" w:rsidRPr="00C60483" w:rsidRDefault="005533C6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  <w:sz w:val="12"/>
          <w:szCs w:val="12"/>
        </w:rPr>
      </w:pPr>
    </w:p>
    <w:p w:rsidR="00C627E4" w:rsidRPr="00C60483" w:rsidRDefault="006C4E55" w:rsidP="00F64013">
      <w:pPr>
        <w:tabs>
          <w:tab w:val="left" w:pos="709"/>
          <w:tab w:val="left" w:pos="2268"/>
          <w:tab w:val="left" w:leader="underscore" w:pos="4820"/>
        </w:tabs>
        <w:spacing w:line="320" w:lineRule="atLeast"/>
        <w:rPr>
          <w:rFonts w:ascii="Arial" w:hAnsi="Arial" w:cs="Arial"/>
          <w:i/>
          <w:lang w:val="de-DE"/>
        </w:rPr>
      </w:pPr>
      <w:r w:rsidRPr="00C60483">
        <w:rPr>
          <w:rFonts w:ascii="Arial" w:hAnsi="Arial" w:cs="Arial"/>
          <w:i/>
        </w:rPr>
        <w:t>Sind im Einkommen lohnsteuerpflichtige Einkünfte enthalten, so ist der Steuerpflichtige zu veranlagen, wenn</w:t>
      </w:r>
    </w:p>
    <w:p w:rsidR="00C627E4" w:rsidRPr="00C60483" w:rsidRDefault="006C4E55" w:rsidP="00F64013">
      <w:pPr>
        <w:pStyle w:val="Listenabsatz"/>
        <w:numPr>
          <w:ilvl w:val="0"/>
          <w:numId w:val="11"/>
        </w:numPr>
        <w:tabs>
          <w:tab w:val="left" w:pos="709"/>
          <w:tab w:val="left" w:pos="2268"/>
          <w:tab w:val="left" w:leader="underscore" w:pos="4820"/>
        </w:tabs>
        <w:spacing w:line="320" w:lineRule="atLeast"/>
        <w:rPr>
          <w:rFonts w:ascii="Arial" w:hAnsi="Arial" w:cs="Arial"/>
          <w:i/>
          <w:lang w:val="de-DE"/>
        </w:rPr>
      </w:pPr>
      <w:r w:rsidRPr="00C60483">
        <w:rPr>
          <w:rFonts w:ascii="Arial" w:hAnsi="Arial" w:cs="Arial"/>
          <w:i/>
        </w:rPr>
        <w:t>er andere Einkünfte bezogen hat, deren Gesamtbetrag 730 Euro übersteigt,</w:t>
      </w:r>
      <w:r w:rsidR="005533C6" w:rsidRPr="00C60483">
        <w:rPr>
          <w:rFonts w:ascii="Arial" w:hAnsi="Arial" w:cs="Arial"/>
          <w:i/>
        </w:rPr>
        <w:t xml:space="preserve"> … </w:t>
      </w:r>
    </w:p>
    <w:p w:rsidR="00C627E4" w:rsidRDefault="00C627E4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  <w:lang w:val="de-DE"/>
        </w:rPr>
      </w:pPr>
    </w:p>
    <w:p w:rsidR="00F944CD" w:rsidRPr="00F64013" w:rsidRDefault="00F944CD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  <w:lang w:val="de-DE"/>
        </w:rPr>
      </w:pPr>
    </w:p>
    <w:p w:rsidR="00C627E4" w:rsidRPr="00F64013" w:rsidRDefault="00875593" w:rsidP="00F64013">
      <w:pPr>
        <w:tabs>
          <w:tab w:val="left" w:pos="709"/>
          <w:tab w:val="left" w:pos="2268"/>
          <w:tab w:val="left" w:leader="underscore" w:pos="4820"/>
        </w:tabs>
        <w:spacing w:line="320" w:lineRule="atLeast"/>
        <w:rPr>
          <w:rFonts w:ascii="Arial" w:hAnsi="Arial" w:cs="Arial"/>
          <w:lang w:val="de-DE"/>
        </w:rPr>
      </w:pPr>
      <w:r w:rsidRPr="00F64013">
        <w:rPr>
          <w:rFonts w:ascii="Arial" w:hAnsi="Arial" w:cs="Arial"/>
          <w:lang w:val="de-DE"/>
        </w:rPr>
        <w:t xml:space="preserve">Die Höhe des </w:t>
      </w:r>
      <w:r w:rsidR="005533C6" w:rsidRPr="00F64013">
        <w:rPr>
          <w:rFonts w:ascii="Arial" w:hAnsi="Arial" w:cs="Arial"/>
          <w:lang w:val="de-DE"/>
        </w:rPr>
        <w:t>Veranlagungsfreibetrags</w:t>
      </w:r>
      <w:r w:rsidRPr="00F64013">
        <w:rPr>
          <w:rFonts w:ascii="Arial" w:hAnsi="Arial" w:cs="Arial"/>
          <w:lang w:val="de-DE"/>
        </w:rPr>
        <w:t xml:space="preserve"> stammt noch aus der Zeit des Schillings mit einer Höhe von 10.000,00 ATS. </w:t>
      </w:r>
      <w:r w:rsidRPr="00AB2D83">
        <w:rPr>
          <w:rFonts w:ascii="Arial" w:hAnsi="Arial" w:cs="Arial"/>
          <w:i/>
          <w:strike/>
          <w:u w:val="single"/>
          <w:lang w:val="de-DE"/>
        </w:rPr>
        <w:t xml:space="preserve">Seit dieser Zeit </w:t>
      </w:r>
      <w:r w:rsidR="00A605FC" w:rsidRPr="00AB2D83">
        <w:rPr>
          <w:rFonts w:ascii="Arial" w:hAnsi="Arial" w:cs="Arial"/>
          <w:i/>
          <w:strike/>
          <w:u w:val="single"/>
          <w:lang w:val="de-DE"/>
        </w:rPr>
        <w:t xml:space="preserve">gab es einige Anpassungen des Einkommensteuergesetzes </w:t>
      </w:r>
      <w:r w:rsidR="000E5A89" w:rsidRPr="00AB2D83">
        <w:rPr>
          <w:rFonts w:ascii="Arial" w:hAnsi="Arial" w:cs="Arial"/>
          <w:i/>
          <w:strike/>
          <w:u w:val="single"/>
          <w:lang w:val="de-DE"/>
        </w:rPr>
        <w:t>-</w:t>
      </w:r>
      <w:r w:rsidR="00A605FC" w:rsidRPr="00AB2D83">
        <w:rPr>
          <w:rFonts w:ascii="Arial" w:hAnsi="Arial" w:cs="Arial"/>
          <w:i/>
          <w:strike/>
          <w:u w:val="single"/>
          <w:lang w:val="de-DE"/>
        </w:rPr>
        <w:t xml:space="preserve"> auch als Reformen tituliert</w:t>
      </w:r>
      <w:r w:rsidR="000E5A89" w:rsidRPr="00AB2D83">
        <w:rPr>
          <w:rFonts w:ascii="Arial" w:hAnsi="Arial" w:cs="Arial"/>
          <w:i/>
          <w:strike/>
          <w:u w:val="single"/>
          <w:lang w:val="de-DE"/>
        </w:rPr>
        <w:t xml:space="preserve"> -</w:t>
      </w:r>
      <w:r w:rsidR="00A605FC" w:rsidRPr="00AB2D83">
        <w:rPr>
          <w:rFonts w:ascii="Arial" w:hAnsi="Arial" w:cs="Arial"/>
          <w:i/>
          <w:strike/>
          <w:u w:val="single"/>
          <w:lang w:val="de-DE"/>
        </w:rPr>
        <w:t xml:space="preserve"> nur dieser Betrag bl</w:t>
      </w:r>
      <w:r w:rsidR="000E5A89" w:rsidRPr="00AB2D83">
        <w:rPr>
          <w:rFonts w:ascii="Arial" w:hAnsi="Arial" w:cs="Arial"/>
          <w:i/>
          <w:strike/>
          <w:u w:val="single"/>
          <w:lang w:val="de-DE"/>
        </w:rPr>
        <w:t>i</w:t>
      </w:r>
      <w:r w:rsidR="00A605FC" w:rsidRPr="00AB2D83">
        <w:rPr>
          <w:rFonts w:ascii="Arial" w:hAnsi="Arial" w:cs="Arial"/>
          <w:i/>
          <w:strike/>
          <w:u w:val="single"/>
          <w:lang w:val="de-DE"/>
        </w:rPr>
        <w:t xml:space="preserve">eb unverändert. </w:t>
      </w:r>
    </w:p>
    <w:p w:rsidR="00C627E4" w:rsidRPr="00F64013" w:rsidRDefault="00C627E4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  <w:lang w:val="de-DE"/>
        </w:rPr>
      </w:pPr>
    </w:p>
    <w:p w:rsidR="009244D5" w:rsidRPr="00F64013" w:rsidRDefault="00A605FC" w:rsidP="00F64013">
      <w:pPr>
        <w:tabs>
          <w:tab w:val="left" w:pos="709"/>
          <w:tab w:val="left" w:pos="2268"/>
          <w:tab w:val="left" w:leader="underscore" w:pos="4820"/>
        </w:tabs>
        <w:spacing w:line="320" w:lineRule="atLeast"/>
        <w:rPr>
          <w:rFonts w:ascii="Arial" w:hAnsi="Arial" w:cs="Arial"/>
          <w:lang w:val="de-DE"/>
        </w:rPr>
      </w:pPr>
      <w:r w:rsidRPr="00F64013">
        <w:rPr>
          <w:rFonts w:ascii="Arial" w:hAnsi="Arial" w:cs="Arial"/>
          <w:lang w:val="de-DE"/>
        </w:rPr>
        <w:t xml:space="preserve">Somit sollte dieser Betrag nunmehr der aktuellen Kaufkraftentwicklung angepasst werden, mit dem Nebeneffekt, dass nicht mehr so viele </w:t>
      </w:r>
      <w:r w:rsidR="00F944CD">
        <w:rPr>
          <w:rFonts w:ascii="Arial" w:hAnsi="Arial" w:cs="Arial"/>
          <w:lang w:val="de-DE"/>
        </w:rPr>
        <w:t>e</w:t>
      </w:r>
      <w:r w:rsidRPr="00F64013">
        <w:rPr>
          <w:rFonts w:ascii="Arial" w:hAnsi="Arial" w:cs="Arial"/>
          <w:lang w:val="de-DE"/>
        </w:rPr>
        <w:t xml:space="preserve">inkommensteuerpflichtige Arbeitnehmerinnen und Arbeitnehmer eine Einkommensteuererklärung verfassen müssen und </w:t>
      </w:r>
      <w:r w:rsidR="00C209D8" w:rsidRPr="00F64013">
        <w:rPr>
          <w:rFonts w:ascii="Arial" w:hAnsi="Arial" w:cs="Arial"/>
          <w:lang w:val="de-DE"/>
        </w:rPr>
        <w:t xml:space="preserve">somit </w:t>
      </w:r>
      <w:r w:rsidRPr="00F64013">
        <w:rPr>
          <w:rFonts w:ascii="Arial" w:hAnsi="Arial" w:cs="Arial"/>
          <w:lang w:val="de-DE"/>
        </w:rPr>
        <w:t>ein wesentlicher bürokratischer Aufwand wegfallen würde.</w:t>
      </w:r>
    </w:p>
    <w:p w:rsidR="009244D5" w:rsidRPr="00F64013" w:rsidRDefault="009244D5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  <w:lang w:val="de-DE"/>
        </w:rPr>
      </w:pPr>
    </w:p>
    <w:p w:rsidR="009244D5" w:rsidRDefault="009244D5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  <w:lang w:val="de-DE"/>
        </w:rPr>
      </w:pPr>
      <w:bookmarkStart w:id="0" w:name="_GoBack"/>
      <w:bookmarkEnd w:id="0"/>
    </w:p>
    <w:p w:rsidR="00A605FC" w:rsidRDefault="00A605FC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  <w:lang w:val="de-DE"/>
        </w:rPr>
      </w:pPr>
    </w:p>
    <w:p w:rsidR="00A605FC" w:rsidRDefault="00A605FC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  <w:lang w:val="de-DE"/>
        </w:rPr>
      </w:pPr>
    </w:p>
    <w:p w:rsidR="00A605FC" w:rsidRDefault="00A605FC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  <w:lang w:val="de-DE"/>
        </w:rPr>
      </w:pPr>
    </w:p>
    <w:p w:rsidR="00A605FC" w:rsidRDefault="00A605FC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  <w:lang w:val="de-DE"/>
        </w:rPr>
      </w:pPr>
    </w:p>
    <w:p w:rsidR="00A605FC" w:rsidRDefault="00A605FC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  <w:lang w:val="de-DE"/>
        </w:rPr>
      </w:pPr>
    </w:p>
    <w:p w:rsidR="009244D5" w:rsidRPr="00F23423" w:rsidRDefault="009244D5" w:rsidP="002A2222">
      <w:pPr>
        <w:tabs>
          <w:tab w:val="left" w:pos="709"/>
          <w:tab w:val="left" w:pos="2268"/>
          <w:tab w:val="left" w:leader="underscore" w:pos="4820"/>
        </w:tabs>
        <w:rPr>
          <w:rFonts w:ascii="Arial" w:hAnsi="Arial" w:cs="Arial"/>
          <w:lang w:val="de-DE"/>
        </w:rPr>
      </w:pPr>
    </w:p>
    <w:tbl>
      <w:tblPr>
        <w:tblpPr w:leftFromText="141" w:rightFromText="141" w:vertAnchor="text" w:horzAnchor="margin" w:tblpY="360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6154CB" w:rsidRPr="00FF0F51" w:rsidTr="006154CB">
        <w:trPr>
          <w:trHeight w:val="561"/>
        </w:trPr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6154CB" w:rsidRPr="00FF0F51" w:rsidRDefault="006154CB" w:rsidP="006154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ngenommen </w:t>
            </w:r>
            <w:bookmarkStart w:id="1" w:name="Kontrollkästchen1"/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1331F">
              <w:rPr>
                <w:sz w:val="16"/>
                <w:szCs w:val="16"/>
              </w:rPr>
            </w:r>
            <w:r w:rsidR="0071331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6154CB" w:rsidRPr="00FF0F51" w:rsidRDefault="006154CB" w:rsidP="00615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Zuweisung</w:t>
            </w:r>
            <w:r w:rsidRPr="00FF0F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1331F">
              <w:rPr>
                <w:sz w:val="16"/>
                <w:szCs w:val="16"/>
              </w:rPr>
            </w:r>
            <w:r w:rsidR="0071331F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6154CB" w:rsidRPr="00FF0F51" w:rsidRDefault="006154CB" w:rsidP="00615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Ablehnung </w:t>
            </w:r>
            <w:bookmarkStart w:id="2" w:name="Kontrollkästchen4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1331F">
              <w:rPr>
                <w:sz w:val="16"/>
                <w:szCs w:val="16"/>
              </w:rPr>
            </w:r>
            <w:r w:rsidR="0071331F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6154CB" w:rsidRPr="00FF0F51" w:rsidRDefault="006154CB" w:rsidP="006154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Einstimmig </w:t>
            </w:r>
            <w:bookmarkStart w:id="3" w:name="Kontrollkästchen2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sz w:val="16"/>
                <w:szCs w:val="16"/>
              </w:rPr>
              <w:instrText xml:space="preserve"> FORMCHECKBOX </w:instrText>
            </w:r>
            <w:r w:rsidR="0071331F">
              <w:rPr>
                <w:sz w:val="16"/>
                <w:szCs w:val="16"/>
              </w:rPr>
            </w:r>
            <w:r w:rsidR="0071331F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6154CB" w:rsidRPr="00FF0F51" w:rsidRDefault="006154CB" w:rsidP="00615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Mehrstimmig </w:t>
            </w:r>
            <w:bookmarkStart w:id="4" w:name="Kontrollkästchen3"/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1331F">
              <w:rPr>
                <w:sz w:val="16"/>
                <w:szCs w:val="16"/>
              </w:rPr>
            </w:r>
            <w:r w:rsidR="0071331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062FFB" w:rsidRDefault="00062FFB" w:rsidP="006154CB">
      <w:pPr>
        <w:rPr>
          <w:rFonts w:ascii="Arial" w:hAnsi="Arial" w:cs="Arial"/>
          <w:b/>
          <w:bCs/>
        </w:rPr>
      </w:pPr>
    </w:p>
    <w:sectPr w:rsidR="00062FFB" w:rsidSect="00C60483">
      <w:footerReference w:type="default" r:id="rId9"/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A7" w:rsidRDefault="00F91AA7">
      <w:r>
        <w:separator/>
      </w:r>
    </w:p>
  </w:endnote>
  <w:endnote w:type="continuationSeparator" w:id="0">
    <w:p w:rsidR="00F91AA7" w:rsidRDefault="00F9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86F" w:rsidRDefault="002C386F" w:rsidP="002C386F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\p  \* MERGEFORMAT </w:instrText>
    </w:r>
    <w:r>
      <w:rPr>
        <w:rFonts w:ascii="Arial" w:hAnsi="Arial" w:cs="Arial"/>
        <w:sz w:val="16"/>
        <w:szCs w:val="16"/>
      </w:rPr>
      <w:fldChar w:fldCharType="separate"/>
    </w:r>
    <w:r w:rsidR="0071331F">
      <w:rPr>
        <w:rFonts w:ascii="Arial" w:hAnsi="Arial" w:cs="Arial"/>
        <w:noProof/>
        <w:sz w:val="16"/>
        <w:szCs w:val="16"/>
      </w:rPr>
      <w:t>N:\D_P\_D_P\Wr VV\170. VV - 26.04.2018\2. Anträge\2. ÖAAB\ÖAAB04 - W - Indexanpassung Veranlagungsfreibetrag - Austauschblatt.docx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A7" w:rsidRDefault="00F91AA7">
      <w:r>
        <w:separator/>
      </w:r>
    </w:p>
  </w:footnote>
  <w:footnote w:type="continuationSeparator" w:id="0">
    <w:p w:rsidR="00F91AA7" w:rsidRDefault="00F9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D84ED0"/>
    <w:multiLevelType w:val="hybridMultilevel"/>
    <w:tmpl w:val="14126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144E"/>
    <w:multiLevelType w:val="hybridMultilevel"/>
    <w:tmpl w:val="2DF46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FD7"/>
    <w:multiLevelType w:val="multilevel"/>
    <w:tmpl w:val="57EE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765F9"/>
    <w:multiLevelType w:val="hybridMultilevel"/>
    <w:tmpl w:val="B7F248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24D6A"/>
    <w:multiLevelType w:val="hybridMultilevel"/>
    <w:tmpl w:val="3F9A6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4A4C"/>
    <w:multiLevelType w:val="multilevel"/>
    <w:tmpl w:val="FF52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F5F94"/>
    <w:multiLevelType w:val="hybridMultilevel"/>
    <w:tmpl w:val="F1003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960C6"/>
    <w:multiLevelType w:val="hybridMultilevel"/>
    <w:tmpl w:val="AB509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A52E5"/>
    <w:multiLevelType w:val="hybridMultilevel"/>
    <w:tmpl w:val="87EE498A"/>
    <w:lvl w:ilvl="0" w:tplc="A3D6FB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33"/>
    <w:rsid w:val="00012CD4"/>
    <w:rsid w:val="00032D9C"/>
    <w:rsid w:val="00061865"/>
    <w:rsid w:val="00062FFB"/>
    <w:rsid w:val="00072F12"/>
    <w:rsid w:val="00091EF2"/>
    <w:rsid w:val="000B6124"/>
    <w:rsid w:val="000D1618"/>
    <w:rsid w:val="000E5A89"/>
    <w:rsid w:val="000F0E8A"/>
    <w:rsid w:val="00105268"/>
    <w:rsid w:val="00136646"/>
    <w:rsid w:val="00142DC2"/>
    <w:rsid w:val="001508B0"/>
    <w:rsid w:val="0016796C"/>
    <w:rsid w:val="001828F7"/>
    <w:rsid w:val="001B1F20"/>
    <w:rsid w:val="002517A4"/>
    <w:rsid w:val="002A2222"/>
    <w:rsid w:val="002C386F"/>
    <w:rsid w:val="002D7864"/>
    <w:rsid w:val="0031577D"/>
    <w:rsid w:val="003234CE"/>
    <w:rsid w:val="00326F73"/>
    <w:rsid w:val="003307EA"/>
    <w:rsid w:val="00347174"/>
    <w:rsid w:val="00355F6A"/>
    <w:rsid w:val="00375991"/>
    <w:rsid w:val="003861C1"/>
    <w:rsid w:val="003865FD"/>
    <w:rsid w:val="003C1F67"/>
    <w:rsid w:val="003C78F2"/>
    <w:rsid w:val="0040539C"/>
    <w:rsid w:val="00415BD1"/>
    <w:rsid w:val="00416A6B"/>
    <w:rsid w:val="00427F83"/>
    <w:rsid w:val="00430D1F"/>
    <w:rsid w:val="004470A6"/>
    <w:rsid w:val="00470CBE"/>
    <w:rsid w:val="004A3555"/>
    <w:rsid w:val="004B6E03"/>
    <w:rsid w:val="004B7F80"/>
    <w:rsid w:val="004C2BF9"/>
    <w:rsid w:val="004E6A42"/>
    <w:rsid w:val="00516124"/>
    <w:rsid w:val="00521F4B"/>
    <w:rsid w:val="00526E3A"/>
    <w:rsid w:val="00544733"/>
    <w:rsid w:val="005533C6"/>
    <w:rsid w:val="005659D0"/>
    <w:rsid w:val="00587894"/>
    <w:rsid w:val="00597EB3"/>
    <w:rsid w:val="005B4453"/>
    <w:rsid w:val="00603B28"/>
    <w:rsid w:val="006154CB"/>
    <w:rsid w:val="00615E68"/>
    <w:rsid w:val="0065282A"/>
    <w:rsid w:val="00692948"/>
    <w:rsid w:val="006C065D"/>
    <w:rsid w:val="006C4E55"/>
    <w:rsid w:val="0071331F"/>
    <w:rsid w:val="00714451"/>
    <w:rsid w:val="007525E5"/>
    <w:rsid w:val="00776D69"/>
    <w:rsid w:val="007845BF"/>
    <w:rsid w:val="007C60D9"/>
    <w:rsid w:val="007D511A"/>
    <w:rsid w:val="0080683D"/>
    <w:rsid w:val="00817FCF"/>
    <w:rsid w:val="00822F39"/>
    <w:rsid w:val="00855404"/>
    <w:rsid w:val="00865623"/>
    <w:rsid w:val="0086594B"/>
    <w:rsid w:val="00870B44"/>
    <w:rsid w:val="00871524"/>
    <w:rsid w:val="00875593"/>
    <w:rsid w:val="008936D2"/>
    <w:rsid w:val="008A7E5F"/>
    <w:rsid w:val="008C4B1A"/>
    <w:rsid w:val="00910D94"/>
    <w:rsid w:val="0092125A"/>
    <w:rsid w:val="009244D5"/>
    <w:rsid w:val="00944731"/>
    <w:rsid w:val="00944CC6"/>
    <w:rsid w:val="0095721F"/>
    <w:rsid w:val="0098603D"/>
    <w:rsid w:val="009875FB"/>
    <w:rsid w:val="009E6764"/>
    <w:rsid w:val="00A07C03"/>
    <w:rsid w:val="00A1798A"/>
    <w:rsid w:val="00A17A8F"/>
    <w:rsid w:val="00A26322"/>
    <w:rsid w:val="00A40E3E"/>
    <w:rsid w:val="00A605FC"/>
    <w:rsid w:val="00A659BF"/>
    <w:rsid w:val="00A77054"/>
    <w:rsid w:val="00A946AA"/>
    <w:rsid w:val="00AB2D83"/>
    <w:rsid w:val="00AB44BF"/>
    <w:rsid w:val="00AF3989"/>
    <w:rsid w:val="00AF7C52"/>
    <w:rsid w:val="00B039FA"/>
    <w:rsid w:val="00B0663A"/>
    <w:rsid w:val="00B16C91"/>
    <w:rsid w:val="00B212BF"/>
    <w:rsid w:val="00B37D3C"/>
    <w:rsid w:val="00B44883"/>
    <w:rsid w:val="00BA5605"/>
    <w:rsid w:val="00BA7DD6"/>
    <w:rsid w:val="00BB2D44"/>
    <w:rsid w:val="00BC185D"/>
    <w:rsid w:val="00BD4567"/>
    <w:rsid w:val="00BE4BB7"/>
    <w:rsid w:val="00C209D8"/>
    <w:rsid w:val="00C44AA9"/>
    <w:rsid w:val="00C529E7"/>
    <w:rsid w:val="00C60483"/>
    <w:rsid w:val="00C627E4"/>
    <w:rsid w:val="00C74A54"/>
    <w:rsid w:val="00C76440"/>
    <w:rsid w:val="00CB46D1"/>
    <w:rsid w:val="00CB7DF8"/>
    <w:rsid w:val="00CD2B2D"/>
    <w:rsid w:val="00DC54E3"/>
    <w:rsid w:val="00DF1916"/>
    <w:rsid w:val="00E35565"/>
    <w:rsid w:val="00E42F8A"/>
    <w:rsid w:val="00E56EC9"/>
    <w:rsid w:val="00E83CA0"/>
    <w:rsid w:val="00ED5519"/>
    <w:rsid w:val="00EF7FB5"/>
    <w:rsid w:val="00F20501"/>
    <w:rsid w:val="00F23423"/>
    <w:rsid w:val="00F64013"/>
    <w:rsid w:val="00F82F27"/>
    <w:rsid w:val="00F91AA7"/>
    <w:rsid w:val="00F944CD"/>
    <w:rsid w:val="00FA7085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F14801-6438-480F-9B81-A613D9DD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2F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character" w:styleId="Fett">
    <w:name w:val="Strong"/>
    <w:basedOn w:val="Absatz-Standardschriftart"/>
    <w:qFormat/>
    <w:rPr>
      <w:b/>
      <w:bCs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8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85D"/>
    <w:rPr>
      <w:rFonts w:ascii="Tahoma" w:hAnsi="Tahoma" w:cs="Tahoma"/>
      <w:sz w:val="16"/>
      <w:szCs w:val="16"/>
      <w:lang w:val="de-AT"/>
    </w:rPr>
  </w:style>
  <w:style w:type="paragraph" w:styleId="Kopfzeile">
    <w:name w:val="header"/>
    <w:basedOn w:val="Standard"/>
    <w:link w:val="KopfzeileZchn"/>
    <w:rsid w:val="00BA7DD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A7DD6"/>
    <w:pPr>
      <w:tabs>
        <w:tab w:val="center" w:pos="4536"/>
        <w:tab w:val="right" w:pos="9072"/>
      </w:tabs>
    </w:pPr>
  </w:style>
  <w:style w:type="paragraph" w:styleId="HTMLVorformatiert">
    <w:name w:val="HTML Preformatted"/>
    <w:basedOn w:val="Standard"/>
    <w:rsid w:val="00012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de-DE"/>
    </w:rPr>
  </w:style>
  <w:style w:type="paragraph" w:styleId="StandardWeb">
    <w:name w:val="Normal (Web)"/>
    <w:basedOn w:val="Standard"/>
    <w:uiPriority w:val="99"/>
    <w:unhideWhenUsed/>
    <w:rsid w:val="00012CD4"/>
    <w:pPr>
      <w:spacing w:before="100" w:beforeAutospacing="1" w:after="100" w:afterAutospacing="1"/>
    </w:pPr>
    <w:rPr>
      <w:lang w:eastAsia="de-AT"/>
    </w:rPr>
  </w:style>
  <w:style w:type="character" w:customStyle="1" w:styleId="FontStyle13">
    <w:name w:val="Font Style13"/>
    <w:basedOn w:val="Absatz-Standardschriftart"/>
    <w:rsid w:val="00012CD4"/>
    <w:rPr>
      <w:rFonts w:ascii="Verdana" w:hAnsi="Verdana" w:cs="Verdan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2F8A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KopfzeileZchn">
    <w:name w:val="Kopfzeile Zchn"/>
    <w:link w:val="Kopfzeile"/>
    <w:rsid w:val="00E42F8A"/>
    <w:rPr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BE4BB7"/>
    <w:rPr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7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vicetext">
    <w:name w:val="advice_text"/>
    <w:basedOn w:val="Absatz-Standardschriftart"/>
    <w:rsid w:val="00416A6B"/>
  </w:style>
  <w:style w:type="paragraph" w:styleId="Listenabsatz">
    <w:name w:val="List Paragraph"/>
    <w:basedOn w:val="Standard"/>
    <w:uiPriority w:val="34"/>
    <w:qFormat/>
    <w:rsid w:val="006C4E5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2C386F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378D8-BBCB-4865-A5C4-F1D4F096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A2B2768E</Template>
  <TotalTime>0</TotalTime>
  <Pages>1</Pages>
  <Words>163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ÖAAB Wien</Company>
  <LinksUpToDate>false</LinksUpToDate>
  <CharactersWithSpaces>1344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https://www.gesundheit.gv.at/Portal.Node/ghp/public/content/lexikon/s/Sekundaerpraevention_HK.html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AFFENZELLER-GREIF Dina</cp:lastModifiedBy>
  <cp:revision>3</cp:revision>
  <cp:lastPrinted>2012-04-05T07:52:00Z</cp:lastPrinted>
  <dcterms:created xsi:type="dcterms:W3CDTF">2018-04-19T13:26:00Z</dcterms:created>
  <dcterms:modified xsi:type="dcterms:W3CDTF">2018-04-19T13:26:00Z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