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Times New Roman" w:eastAsia="Lucida Sans Unicode" w:hAnsi="Times New Roman" w:cs="Tahoma"/>
          <w:noProof/>
          <w:kern w:val="2"/>
          <w:sz w:val="24"/>
          <w:szCs w:val="24"/>
          <w:lang w:eastAsia="de-DE"/>
        </w:rPr>
        <w:drawing>
          <wp:anchor distT="0" distB="0" distL="114935" distR="114935" simplePos="0" relativeHeight="251659264" behindDoc="0" locked="0" layoutInCell="1" allowOverlap="1" wp14:anchorId="3D7D8BAB" wp14:editId="2247B614">
            <wp:simplePos x="0" y="0"/>
            <wp:positionH relativeFrom="column">
              <wp:posOffset>4188460</wp:posOffset>
            </wp:positionH>
            <wp:positionV relativeFrom="paragraph">
              <wp:posOffset>-170180</wp:posOffset>
            </wp:positionV>
            <wp:extent cx="2122170" cy="1020445"/>
            <wp:effectExtent l="0" t="0" r="0" b="8255"/>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FreeSans" w:hAnsi="Arial" w:cs="Arial"/>
          <w:kern w:val="2"/>
          <w:sz w:val="22"/>
          <w:lang w:val="de-AT" w:eastAsia="zh-CN" w:bidi="hi-IN"/>
        </w:rPr>
        <w:t>Antrag 1</w:t>
      </w:r>
      <w:r w:rsidR="00371F33">
        <w:rPr>
          <w:rFonts w:ascii="Arial" w:eastAsia="FreeSans" w:hAnsi="Arial" w:cs="Arial"/>
          <w:kern w:val="2"/>
          <w:sz w:val="22"/>
          <w:lang w:val="de-AT" w:eastAsia="zh-CN" w:bidi="hi-IN"/>
        </w:rPr>
        <w:t>4</w:t>
      </w:r>
    </w:p>
    <w:p w:rsidR="00C271C6" w:rsidRPr="00C271C6" w:rsidRDefault="00C271C6" w:rsidP="00C271C6">
      <w:pPr>
        <w:widowControl w:val="0"/>
        <w:suppressAutoHyphens/>
        <w:spacing w:after="0" w:line="240" w:lineRule="auto"/>
        <w:jc w:val="left"/>
        <w:rPr>
          <w:rFonts w:ascii="Arial" w:eastAsia="Lucida Sans Unicode" w:hAnsi="Arial" w:cs="Arial"/>
          <w:kern w:val="2"/>
          <w:sz w:val="22"/>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Arial" w:eastAsia="Lucida Sans Unicode" w:hAnsi="Arial" w:cs="Arial"/>
          <w:kern w:val="2"/>
          <w:sz w:val="22"/>
          <w:lang w:val="de-AT" w:eastAsia="zh-CN" w:bidi="hi-IN"/>
        </w:rPr>
        <w:t>der</w:t>
      </w:r>
      <w:r w:rsidRPr="00C271C6">
        <w:rPr>
          <w:rFonts w:ascii="Arial" w:eastAsia="FreeSans" w:hAnsi="Arial" w:cs="Arial"/>
          <w:kern w:val="2"/>
          <w:sz w:val="22"/>
          <w:lang w:val="de-AT" w:eastAsia="zh-CN" w:bidi="hi-IN"/>
        </w:rPr>
        <w:t xml:space="preserve"> </w:t>
      </w:r>
      <w:r w:rsidRPr="00C271C6">
        <w:rPr>
          <w:rFonts w:ascii="Arial" w:eastAsia="Lucida Sans Unicode" w:hAnsi="Arial" w:cs="Arial"/>
          <w:b/>
          <w:kern w:val="2"/>
          <w:sz w:val="22"/>
          <w:lang w:val="de-AT" w:eastAsia="zh-CN" w:bidi="hi-IN"/>
        </w:rPr>
        <w:t>AUGE/UG</w:t>
      </w:r>
      <w:r w:rsidRPr="00C271C6">
        <w:rPr>
          <w:rFonts w:ascii="Arial" w:eastAsia="FreeSans" w:hAnsi="Arial" w:cs="Arial"/>
          <w:b/>
          <w:kern w:val="2"/>
          <w:sz w:val="22"/>
          <w:lang w:val="de-AT" w:eastAsia="zh-CN" w:bidi="hi-IN"/>
        </w:rPr>
        <w:t xml:space="preserve"> </w:t>
      </w:r>
      <w:r w:rsidRPr="00C271C6">
        <w:rPr>
          <w:rFonts w:ascii="Arial" w:eastAsia="Lucida Sans Unicode" w:hAnsi="Arial" w:cs="Arial"/>
          <w:b/>
          <w:kern w:val="2"/>
          <w:sz w:val="22"/>
          <w:lang w:val="de-AT" w:eastAsia="zh-CN" w:bidi="hi-IN"/>
        </w:rPr>
        <w:t>-</w:t>
      </w: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Arial" w:eastAsia="Lucida Sans Unicode" w:hAnsi="Arial" w:cs="Arial"/>
          <w:kern w:val="2"/>
          <w:sz w:val="22"/>
          <w:lang w:val="de-AT" w:eastAsia="zh-CN" w:bidi="hi-IN"/>
        </w:rPr>
        <w:t>Grüne</w:t>
      </w:r>
      <w:r w:rsidRPr="00C271C6">
        <w:rPr>
          <w:rFonts w:ascii="Arial" w:eastAsia="FreeSans" w:hAnsi="Arial" w:cs="Arial"/>
          <w:kern w:val="2"/>
          <w:sz w:val="22"/>
          <w:lang w:val="de-AT" w:eastAsia="zh-CN" w:bidi="hi-IN"/>
        </w:rPr>
        <w:t xml:space="preserve"> </w:t>
      </w:r>
      <w:proofErr w:type="spellStart"/>
      <w:r w:rsidRPr="00C271C6">
        <w:rPr>
          <w:rFonts w:ascii="Arial" w:eastAsia="Lucida Sans Unicode" w:hAnsi="Arial" w:cs="Arial"/>
          <w:kern w:val="2"/>
          <w:sz w:val="22"/>
          <w:lang w:val="de-AT" w:eastAsia="zh-CN" w:bidi="hi-IN"/>
        </w:rPr>
        <w:t>GewerkschafterInnen</w:t>
      </w:r>
      <w:proofErr w:type="spellEnd"/>
      <w:r w:rsidRPr="00C271C6">
        <w:rPr>
          <w:rFonts w:ascii="Arial" w:eastAsia="Lucida Sans Unicode" w:hAnsi="Arial" w:cs="Arial"/>
          <w:kern w:val="2"/>
          <w:sz w:val="22"/>
          <w:lang w:val="de-AT" w:eastAsia="zh-CN" w:bidi="hi-IN"/>
        </w:rPr>
        <w:t xml:space="preserve"> und</w:t>
      </w:r>
      <w:r w:rsidRPr="00C271C6">
        <w:rPr>
          <w:rFonts w:ascii="Arial" w:eastAsia="FreeSans" w:hAnsi="Arial" w:cs="Arial"/>
          <w:kern w:val="2"/>
          <w:sz w:val="22"/>
          <w:lang w:val="de-AT" w:eastAsia="zh-CN" w:bidi="hi-IN"/>
        </w:rPr>
        <w:t xml:space="preserve"> </w:t>
      </w:r>
      <w:r w:rsidRPr="00C271C6">
        <w:rPr>
          <w:rFonts w:ascii="Arial" w:eastAsia="Lucida Sans Unicode" w:hAnsi="Arial" w:cs="Arial"/>
          <w:kern w:val="2"/>
          <w:sz w:val="22"/>
          <w:lang w:val="de-AT" w:eastAsia="zh-CN" w:bidi="hi-IN"/>
        </w:rPr>
        <w:t>Alternative /Unabhängige</w:t>
      </w:r>
      <w:r w:rsidRPr="00C271C6">
        <w:rPr>
          <w:rFonts w:ascii="Arial" w:eastAsia="FreeSans" w:hAnsi="Arial" w:cs="Arial"/>
          <w:kern w:val="2"/>
          <w:sz w:val="22"/>
          <w:lang w:val="de-AT" w:eastAsia="zh-CN" w:bidi="hi-IN"/>
        </w:rPr>
        <w:t xml:space="preserve"> </w:t>
      </w:r>
      <w:proofErr w:type="spellStart"/>
      <w:r w:rsidRPr="00C271C6">
        <w:rPr>
          <w:rFonts w:ascii="Arial" w:eastAsia="Lucida Sans Unicode" w:hAnsi="Arial" w:cs="Arial"/>
          <w:kern w:val="2"/>
          <w:sz w:val="22"/>
          <w:lang w:val="de-AT" w:eastAsia="zh-CN" w:bidi="hi-IN"/>
        </w:rPr>
        <w:t>GewerkschafterInnen</w:t>
      </w:r>
      <w:proofErr w:type="spellEnd"/>
    </w:p>
    <w:p w:rsidR="00C271C6" w:rsidRPr="00C271C6" w:rsidRDefault="00C271C6" w:rsidP="00C271C6">
      <w:pPr>
        <w:widowControl w:val="0"/>
        <w:suppressAutoHyphens/>
        <w:spacing w:after="0" w:line="240" w:lineRule="auto"/>
        <w:jc w:val="left"/>
        <w:rPr>
          <w:rFonts w:ascii="Arial" w:eastAsia="FreeSans" w:hAnsi="Arial" w:cs="Arial"/>
          <w:bCs/>
          <w:kern w:val="2"/>
          <w:sz w:val="22"/>
          <w:lang w:val="de-AT" w:eastAsia="zh-CN" w:bidi="hi-IN"/>
        </w:rPr>
      </w:pPr>
    </w:p>
    <w:p w:rsidR="00C271C6" w:rsidRPr="00C271C6"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C271C6">
        <w:rPr>
          <w:rFonts w:ascii="Arial" w:eastAsia="Lucida Sans Unicode" w:hAnsi="Arial" w:cs="Arial"/>
          <w:kern w:val="2"/>
          <w:sz w:val="22"/>
          <w:lang w:val="de-AT" w:eastAsia="zh-CN" w:bidi="hi-IN"/>
        </w:rPr>
        <w:t>zur</w:t>
      </w:r>
      <w:r w:rsidRPr="00C271C6">
        <w:rPr>
          <w:rFonts w:ascii="Arial" w:eastAsia="FreeSans" w:hAnsi="Arial" w:cs="Arial"/>
          <w:kern w:val="2"/>
          <w:sz w:val="22"/>
          <w:lang w:val="de-AT" w:eastAsia="zh-CN" w:bidi="hi-IN"/>
        </w:rPr>
        <w:t xml:space="preserve"> </w:t>
      </w:r>
      <w:r w:rsidR="00CA018A">
        <w:rPr>
          <w:rFonts w:ascii="Arial" w:eastAsia="FreeSans" w:hAnsi="Arial" w:cs="Arial"/>
          <w:kern w:val="2"/>
          <w:sz w:val="22"/>
          <w:lang w:val="de-AT" w:eastAsia="zh-CN" w:bidi="hi-IN"/>
        </w:rPr>
        <w:t>10</w:t>
      </w:r>
      <w:r w:rsidRPr="00C271C6">
        <w:rPr>
          <w:rFonts w:ascii="Arial" w:eastAsia="Lucida Sans Unicode" w:hAnsi="Arial" w:cs="Arial"/>
          <w:kern w:val="2"/>
          <w:sz w:val="22"/>
          <w:lang w:val="de-AT" w:eastAsia="zh-CN" w:bidi="hi-IN"/>
        </w:rPr>
        <w:t>.</w:t>
      </w:r>
      <w:r w:rsidRPr="00C271C6">
        <w:rPr>
          <w:rFonts w:ascii="Arial" w:eastAsia="FreeSans" w:hAnsi="Arial" w:cs="Arial"/>
          <w:kern w:val="2"/>
          <w:sz w:val="22"/>
          <w:lang w:val="de-AT" w:eastAsia="zh-CN" w:bidi="hi-IN"/>
        </w:rPr>
        <w:t xml:space="preserve"> Vollversammlung </w:t>
      </w:r>
      <w:r w:rsidR="006E540A">
        <w:rPr>
          <w:rFonts w:ascii="Arial" w:eastAsia="FreeSans" w:hAnsi="Arial" w:cs="Arial"/>
          <w:kern w:val="2"/>
          <w:sz w:val="22"/>
          <w:lang w:val="de-AT" w:eastAsia="zh-CN" w:bidi="hi-IN"/>
        </w:rPr>
        <w:t xml:space="preserve">der 15. Funktionsperiode </w:t>
      </w:r>
      <w:r w:rsidRPr="00C271C6">
        <w:rPr>
          <w:rFonts w:ascii="Arial" w:eastAsia="Lucida Sans Unicode" w:hAnsi="Arial" w:cs="Arial"/>
          <w:kern w:val="2"/>
          <w:sz w:val="22"/>
          <w:lang w:val="de-AT" w:eastAsia="zh-CN" w:bidi="hi-IN"/>
        </w:rPr>
        <w:t>der</w:t>
      </w:r>
      <w:r w:rsidRPr="00C271C6">
        <w:rPr>
          <w:rFonts w:ascii="Arial" w:eastAsia="FreeSans" w:hAnsi="Arial" w:cs="Arial"/>
          <w:kern w:val="2"/>
          <w:sz w:val="22"/>
          <w:lang w:val="de-AT" w:eastAsia="zh-CN" w:bidi="hi-IN"/>
        </w:rPr>
        <w:t xml:space="preserve"> A</w:t>
      </w:r>
      <w:r w:rsidRPr="00C271C6">
        <w:rPr>
          <w:rFonts w:ascii="Arial" w:eastAsia="Lucida Sans Unicode" w:hAnsi="Arial" w:cs="Arial"/>
          <w:kern w:val="2"/>
          <w:sz w:val="22"/>
          <w:lang w:val="de-AT" w:eastAsia="zh-CN" w:bidi="hi-IN"/>
        </w:rPr>
        <w:t>rbeiterkammer</w:t>
      </w:r>
      <w:r w:rsidRPr="00C271C6">
        <w:rPr>
          <w:rFonts w:ascii="Arial" w:eastAsia="FreeSans" w:hAnsi="Arial" w:cs="Arial"/>
          <w:kern w:val="2"/>
          <w:sz w:val="22"/>
          <w:lang w:val="de-AT" w:eastAsia="zh-CN" w:bidi="hi-IN"/>
        </w:rPr>
        <w:t xml:space="preserve"> </w:t>
      </w:r>
      <w:r w:rsidRPr="00C271C6">
        <w:rPr>
          <w:rFonts w:ascii="Arial" w:eastAsia="Lucida Sans Unicode" w:hAnsi="Arial" w:cs="Arial"/>
          <w:kern w:val="2"/>
          <w:sz w:val="22"/>
          <w:lang w:val="de-AT" w:eastAsia="zh-CN" w:bidi="hi-IN"/>
        </w:rPr>
        <w:t>Niederösterreich</w:t>
      </w:r>
    </w:p>
    <w:p w:rsidR="00371F33" w:rsidRDefault="00C271C6" w:rsidP="00371F33">
      <w:pPr>
        <w:rPr>
          <w:rFonts w:ascii="Calibri" w:eastAsia="Calibri" w:hAnsi="Calibri" w:cs="Times New Roman"/>
          <w:sz w:val="22"/>
          <w:lang w:val="de-AT"/>
        </w:rPr>
      </w:pPr>
      <w:r w:rsidRPr="00C271C6">
        <w:rPr>
          <w:rFonts w:ascii="Arial" w:eastAsia="Times New Roman" w:hAnsi="Arial" w:cs="Arial"/>
          <w:kern w:val="2"/>
          <w:sz w:val="22"/>
          <w:lang w:val="de-AT" w:eastAsia="zh-CN" w:bidi="hi-IN"/>
        </w:rPr>
        <w:t>am</w:t>
      </w:r>
      <w:r w:rsidR="00CA018A">
        <w:rPr>
          <w:rFonts w:ascii="Arial" w:eastAsia="FreeSans" w:hAnsi="Arial" w:cs="Arial"/>
          <w:kern w:val="2"/>
          <w:sz w:val="22"/>
          <w:lang w:val="de-AT" w:eastAsia="zh-CN" w:bidi="hi-IN"/>
        </w:rPr>
        <w:t xml:space="preserve"> 13.11.</w:t>
      </w:r>
      <w:r w:rsidRPr="00C271C6">
        <w:rPr>
          <w:rFonts w:ascii="Arial" w:eastAsia="FreeSans" w:hAnsi="Arial" w:cs="Arial"/>
          <w:kern w:val="2"/>
          <w:sz w:val="22"/>
          <w:lang w:val="de-AT" w:eastAsia="zh-CN" w:bidi="hi-IN"/>
        </w:rPr>
        <w:t xml:space="preserve"> 201</w:t>
      </w:r>
      <w:r w:rsidR="006E540A">
        <w:rPr>
          <w:rFonts w:ascii="Arial" w:eastAsia="FreeSans" w:hAnsi="Arial" w:cs="Arial"/>
          <w:kern w:val="2"/>
          <w:sz w:val="22"/>
          <w:lang w:val="de-AT" w:eastAsia="zh-CN" w:bidi="hi-IN"/>
        </w:rPr>
        <w:t>8</w:t>
      </w:r>
      <w:r w:rsidR="00371F33" w:rsidRPr="00371F33">
        <w:rPr>
          <w:rFonts w:ascii="Calibri" w:eastAsia="Calibri" w:hAnsi="Calibri" w:cs="Times New Roman"/>
          <w:sz w:val="22"/>
          <w:lang w:val="de-AT"/>
        </w:rPr>
        <w:t xml:space="preserve"> </w:t>
      </w:r>
    </w:p>
    <w:p w:rsidR="00371F33" w:rsidRPr="00371F33" w:rsidRDefault="00371F33" w:rsidP="00371F33">
      <w:pPr>
        <w:rPr>
          <w:rFonts w:ascii="Calibri" w:eastAsia="Calibri" w:hAnsi="Calibri" w:cs="Times New Roman"/>
          <w:b/>
          <w:sz w:val="24"/>
          <w:szCs w:val="24"/>
          <w:lang w:val="de-AT"/>
        </w:rPr>
      </w:pPr>
      <w:bookmarkStart w:id="0" w:name="_GoBack"/>
    </w:p>
    <w:p w:rsidR="00371F33" w:rsidRPr="00371F33" w:rsidRDefault="00371F33" w:rsidP="00371F33">
      <w:pPr>
        <w:rPr>
          <w:rFonts w:ascii="Calibri" w:eastAsia="Calibri" w:hAnsi="Calibri" w:cs="Times New Roman"/>
          <w:b/>
          <w:sz w:val="24"/>
          <w:szCs w:val="24"/>
          <w:lang w:val="de-AT"/>
        </w:rPr>
      </w:pPr>
      <w:r w:rsidRPr="00371F33">
        <w:rPr>
          <w:rFonts w:ascii="Calibri" w:eastAsia="Calibri" w:hAnsi="Calibri" w:cs="Times New Roman"/>
          <w:b/>
          <w:sz w:val="24"/>
          <w:szCs w:val="24"/>
          <w:lang w:val="de-AT"/>
        </w:rPr>
        <w:t xml:space="preserve">Aufstockung der AMS-Mittel </w:t>
      </w:r>
    </w:p>
    <w:bookmarkEnd w:id="0"/>
    <w:p w:rsidR="00371F33" w:rsidRPr="00371F33" w:rsidRDefault="00371F33" w:rsidP="00371F33">
      <w:pPr>
        <w:spacing w:after="160" w:line="259" w:lineRule="auto"/>
        <w:jc w:val="left"/>
        <w:rPr>
          <w:rFonts w:ascii="Calibri" w:eastAsia="Calibri" w:hAnsi="Calibri" w:cs="Times New Roman"/>
          <w:sz w:val="22"/>
          <w:lang w:val="de-AT"/>
        </w:rPr>
      </w:pPr>
      <w:r w:rsidRPr="00371F33">
        <w:rPr>
          <w:rFonts w:ascii="Calibri" w:eastAsia="Calibri" w:hAnsi="Calibri" w:cs="Times New Roman"/>
          <w:sz w:val="22"/>
          <w:lang w:val="de-AT"/>
        </w:rPr>
        <w:t xml:space="preserve">Deutschkurse für </w:t>
      </w:r>
      <w:proofErr w:type="spellStart"/>
      <w:r w:rsidRPr="00371F33">
        <w:rPr>
          <w:rFonts w:ascii="Calibri" w:eastAsia="Calibri" w:hAnsi="Calibri" w:cs="Times New Roman"/>
          <w:sz w:val="22"/>
          <w:lang w:val="de-AT"/>
        </w:rPr>
        <w:t>AsylwerberInnen</w:t>
      </w:r>
      <w:proofErr w:type="spellEnd"/>
      <w:r w:rsidRPr="00371F33">
        <w:rPr>
          <w:rFonts w:ascii="Calibri" w:eastAsia="Calibri" w:hAnsi="Calibri" w:cs="Times New Roman"/>
          <w:sz w:val="22"/>
          <w:lang w:val="de-AT"/>
        </w:rPr>
        <w:t xml:space="preserve"> und Asylberechtigte Personen</w:t>
      </w:r>
    </w:p>
    <w:p w:rsidR="00371F33" w:rsidRPr="00371F33" w:rsidRDefault="00371F33" w:rsidP="00371F33">
      <w:pPr>
        <w:spacing w:after="160" w:line="259" w:lineRule="auto"/>
        <w:jc w:val="left"/>
        <w:rPr>
          <w:rFonts w:ascii="Calibri" w:eastAsia="Calibri" w:hAnsi="Calibri" w:cs="Times New Roman"/>
          <w:sz w:val="22"/>
          <w:lang w:val="de-AT"/>
        </w:rPr>
      </w:pPr>
      <w:r w:rsidRPr="00371F33">
        <w:rPr>
          <w:rFonts w:ascii="Calibri" w:eastAsia="Calibri" w:hAnsi="Calibri" w:cs="Times New Roman"/>
          <w:sz w:val="22"/>
          <w:lang w:val="de-AT"/>
        </w:rPr>
        <w:t xml:space="preserve">Ziel unserer Gesellschaft ist es Menschen, die Hilfe benötigen, rasch zu helfen, damit diese bald auf eigenen Beinen stehen und ihren Beitrag leisten können. Gerade bei der Integration von Menschen sind die ersten Jahre entscheidend. Hier kann die Grundlage für eine zukünftig gelungene Integration geschaffen werden oder eben nicht.   </w:t>
      </w:r>
    </w:p>
    <w:p w:rsidR="00371F33" w:rsidRPr="00371F33" w:rsidRDefault="00371F33" w:rsidP="00371F33">
      <w:pPr>
        <w:spacing w:after="160" w:line="259" w:lineRule="auto"/>
        <w:jc w:val="left"/>
        <w:rPr>
          <w:rFonts w:ascii="Calibri" w:eastAsia="Calibri" w:hAnsi="Calibri" w:cs="Times New Roman"/>
          <w:sz w:val="22"/>
          <w:lang w:val="de-AT"/>
        </w:rPr>
      </w:pPr>
      <w:r w:rsidRPr="00371F33">
        <w:rPr>
          <w:rFonts w:ascii="Calibri" w:eastAsia="Calibri" w:hAnsi="Calibri" w:cs="Times New Roman"/>
          <w:sz w:val="22"/>
          <w:lang w:val="de-AT"/>
        </w:rPr>
        <w:t xml:space="preserve">Die Kürzung der Mittel des AMS ist kurzsichtig. Die Regierung spricht auf der einen Seite davon, dass sie Anreize schaffen wolle und Menschen, die schlechter Deutsch können, weniger finanzielle Absicherung bekommen sollen. Auf der anderen Seite nimmt sie den Betroffenen die Möglichkeit rasch selbständig zu werden, indem sie ihnen die Chance nimmt ausreichend rasch Deutsch zu lernen. Gelungene Integration ist wünschenswert und der Spracherwerb ist Grundvoraussetzung dafür in Österreich arbeiten zu können. Kurzsichtige Sparmaßnahmen verzögern die Integration in den Arbeitsmarkt und verursachen damit längerfristig gesehen viel mehr Kosten. Es ist ökonomisch sinnvoll Menschen, die man auffordert einen Beitrag zu leisten, auch so zu fördern, dass sie dazu eine Chance haben.  </w:t>
      </w:r>
    </w:p>
    <w:p w:rsidR="00371F33" w:rsidRPr="00371F33" w:rsidRDefault="00371F33" w:rsidP="00371F33">
      <w:pPr>
        <w:spacing w:after="160" w:line="259" w:lineRule="auto"/>
        <w:jc w:val="left"/>
        <w:rPr>
          <w:rFonts w:ascii="Calibri" w:eastAsia="Calibri" w:hAnsi="Calibri" w:cs="Times New Roman"/>
          <w:color w:val="FF0000"/>
          <w:sz w:val="22"/>
          <w:lang w:val="de-AT"/>
        </w:rPr>
      </w:pPr>
      <w:r w:rsidRPr="00371F33">
        <w:rPr>
          <w:rFonts w:ascii="Calibri" w:eastAsia="Calibri" w:hAnsi="Calibri" w:cs="Times New Roman"/>
          <w:sz w:val="22"/>
          <w:lang w:val="de-AT"/>
        </w:rPr>
        <w:t xml:space="preserve">Die Bundesregierung kürzt die Mittel für das AMS. Das AMS hat die Aufgabe, Deutschkurse für </w:t>
      </w:r>
      <w:proofErr w:type="spellStart"/>
      <w:r w:rsidRPr="00371F33">
        <w:rPr>
          <w:rFonts w:ascii="Calibri" w:eastAsia="Calibri" w:hAnsi="Calibri" w:cs="Times New Roman"/>
          <w:sz w:val="22"/>
          <w:lang w:val="de-AT"/>
        </w:rPr>
        <w:t>AsylwerberInnen</w:t>
      </w:r>
      <w:proofErr w:type="spellEnd"/>
      <w:r w:rsidRPr="00371F33">
        <w:rPr>
          <w:rFonts w:ascii="Calibri" w:eastAsia="Calibri" w:hAnsi="Calibri" w:cs="Times New Roman"/>
          <w:sz w:val="22"/>
          <w:lang w:val="de-AT"/>
        </w:rPr>
        <w:t xml:space="preserve"> und Asylberechtigte anzubieten. In Folge der allgemeinen Kürzung der AMS-Mittel werden die Deutschkurse, die jetzt schon zu wenig sind, massiv gekürzt. Es hat sich gezeigt, dass der Anteil an </w:t>
      </w:r>
      <w:proofErr w:type="spellStart"/>
      <w:r w:rsidRPr="00371F33">
        <w:rPr>
          <w:rFonts w:ascii="Calibri" w:eastAsia="Calibri" w:hAnsi="Calibri" w:cs="Times New Roman"/>
          <w:sz w:val="22"/>
          <w:lang w:val="de-AT"/>
        </w:rPr>
        <w:t>AsylwerberInnen</w:t>
      </w:r>
      <w:proofErr w:type="spellEnd"/>
      <w:r w:rsidRPr="00371F33">
        <w:rPr>
          <w:rFonts w:ascii="Calibri" w:eastAsia="Calibri" w:hAnsi="Calibri" w:cs="Times New Roman"/>
          <w:sz w:val="22"/>
          <w:lang w:val="de-AT"/>
        </w:rPr>
        <w:t>, die einen Aufenthaltstitel bekommen und somit für ihren eigenen Lebensunterhalt einer Beschäftigung nachgehen können, hoch ist.</w:t>
      </w:r>
    </w:p>
    <w:p w:rsidR="00371F33" w:rsidRPr="00371F33" w:rsidRDefault="00371F33" w:rsidP="00371F33">
      <w:pPr>
        <w:spacing w:after="160" w:line="259" w:lineRule="auto"/>
        <w:jc w:val="left"/>
        <w:rPr>
          <w:rFonts w:ascii="Calibri" w:eastAsia="Calibri" w:hAnsi="Calibri" w:cs="Times New Roman"/>
          <w:sz w:val="22"/>
          <w:lang w:val="de-AT"/>
        </w:rPr>
      </w:pPr>
      <w:r w:rsidRPr="00371F33">
        <w:rPr>
          <w:rFonts w:ascii="Calibri" w:eastAsia="Calibri" w:hAnsi="Calibri" w:cs="Times New Roman"/>
          <w:sz w:val="22"/>
          <w:lang w:val="de-AT"/>
        </w:rPr>
        <w:t xml:space="preserve">Das selbst aufkommen können für den eigenen Lebensunterhalt hilft, unsere Produktivität zu steigern, trägt somit zur Verbesserung des allgemeinen Wohlstandes bei und hilft, Parallelgesellschaften vorzubeugen. Somit ist die Erwerbstätigkeit der Asylberechtigten ein wesentliches Ziel, um Problemen aus der Flüchtlingsbewegung entgegen zu wirken. </w:t>
      </w:r>
    </w:p>
    <w:p w:rsidR="00371F33" w:rsidRPr="00371F33" w:rsidRDefault="00371F33" w:rsidP="00371F33">
      <w:pPr>
        <w:spacing w:after="160" w:line="259" w:lineRule="auto"/>
        <w:jc w:val="left"/>
        <w:rPr>
          <w:rFonts w:ascii="Calibri" w:eastAsia="Calibri" w:hAnsi="Calibri" w:cs="Times New Roman"/>
          <w:sz w:val="22"/>
          <w:lang w:val="de-AT"/>
        </w:rPr>
      </w:pPr>
      <w:r w:rsidRPr="00371F33">
        <w:rPr>
          <w:rFonts w:ascii="Calibri" w:eastAsia="Calibri" w:hAnsi="Calibri" w:cs="Times New Roman"/>
          <w:sz w:val="22"/>
          <w:lang w:val="de-AT"/>
        </w:rPr>
        <w:t xml:space="preserve">Sprache wird als Voraussetzung für den Arbeitsmarkt angesehen. Somit schaden wir uns selbst, wenn wir diese Gruppen keine Möglichkeiten schaffen, die Sprache zu erlernen, und dadurch diesen Menschen kaum oder sogar gar nicht am Arbeitsleben teilnehmen können. Wir </w:t>
      </w:r>
      <w:r w:rsidRPr="00371F33">
        <w:rPr>
          <w:rFonts w:ascii="Calibri" w:eastAsia="Calibri" w:hAnsi="Calibri" w:cs="Times New Roman"/>
          <w:sz w:val="22"/>
          <w:lang w:val="de-AT"/>
        </w:rPr>
        <w:lastRenderedPageBreak/>
        <w:t xml:space="preserve">verlieren Zeit, wo diese Menschen dann mehr Kosten verursachen als die Deutschkurse ausmachen würden, und nicht zum gesamtgesellschaftlichen Wohlstand beitragen können. </w:t>
      </w:r>
    </w:p>
    <w:p w:rsidR="00371F33" w:rsidRPr="00371F33" w:rsidRDefault="00371F33" w:rsidP="00371F33">
      <w:pPr>
        <w:spacing w:after="160" w:line="259" w:lineRule="auto"/>
        <w:jc w:val="left"/>
        <w:rPr>
          <w:rFonts w:ascii="Calibri" w:eastAsia="Calibri" w:hAnsi="Calibri" w:cs="Times New Roman"/>
          <w:sz w:val="22"/>
          <w:lang w:val="de-AT"/>
        </w:rPr>
      </w:pPr>
      <w:r w:rsidRPr="00371F33">
        <w:rPr>
          <w:rFonts w:ascii="Calibri" w:eastAsia="Calibri" w:hAnsi="Calibri" w:cs="Times New Roman"/>
          <w:b/>
          <w:sz w:val="22"/>
          <w:lang w:val="de-AT"/>
        </w:rPr>
        <w:t xml:space="preserve">Die Vollversammlung der AK NÖ fordert die Bundesregierung auf, die AMS-Mittel für Deutschkurse in ausreichendem Umfang für Asylwerber und Asylberechtigte zur Verfügung zu stellen, um nicht noch mehr Missstände entstehen zu lassen. </w:t>
      </w:r>
    </w:p>
    <w:p w:rsidR="00C271C6" w:rsidRPr="00C271C6" w:rsidRDefault="00C271C6" w:rsidP="00C271C6">
      <w:pPr>
        <w:widowControl w:val="0"/>
        <w:suppressAutoHyphens/>
        <w:spacing w:after="280" w:line="240" w:lineRule="auto"/>
        <w:jc w:val="left"/>
        <w:rPr>
          <w:rFonts w:ascii="Times New Roman" w:eastAsia="Times New Roman" w:hAnsi="Times New Roman" w:cs="Times New Roman"/>
          <w:kern w:val="2"/>
          <w:sz w:val="24"/>
          <w:szCs w:val="24"/>
          <w:lang w:val="de-AT" w:eastAsia="zh-CN" w:bidi="hi-IN"/>
        </w:rPr>
      </w:pPr>
    </w:p>
    <w:sectPr w:rsidR="00C271C6" w:rsidRPr="00C271C6"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13" w:rsidRDefault="00CD6713" w:rsidP="007E3340">
      <w:pPr>
        <w:spacing w:after="0" w:line="240" w:lineRule="auto"/>
      </w:pPr>
      <w:r>
        <w:separator/>
      </w:r>
    </w:p>
  </w:endnote>
  <w:endnote w:type="continuationSeparator" w:id="0">
    <w:p w:rsidR="00CD6713" w:rsidRDefault="00CD6713"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Titillium Bd">
    <w:altName w:val="Arial"/>
    <w:panose1 w:val="00000000000000000000"/>
    <w:charset w:val="00"/>
    <w:family w:val="modern"/>
    <w:notTrueType/>
    <w:pitch w:val="variable"/>
    <w:sig w:usb0="00000007" w:usb1="00000001" w:usb2="00000000" w:usb3="00000000" w:csb0="00000093"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Up">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13" w:rsidRDefault="00CD6713" w:rsidP="007E3340">
      <w:pPr>
        <w:spacing w:after="0" w:line="240" w:lineRule="auto"/>
      </w:pPr>
      <w:r>
        <w:separator/>
      </w:r>
    </w:p>
  </w:footnote>
  <w:footnote w:type="continuationSeparator" w:id="0">
    <w:p w:rsidR="00CD6713" w:rsidRDefault="00CD6713" w:rsidP="007E3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40" w:rsidRDefault="007E3340">
    <w:pPr>
      <w:pStyle w:val="Kopfzeile"/>
    </w:pPr>
  </w:p>
  <w:p w:rsidR="007E3340" w:rsidRDefault="00F87666">
    <w:pPr>
      <w:pStyle w:val="Kopfzeile"/>
    </w:pPr>
    <w:r>
      <w:rPr>
        <w:noProof/>
        <w:lang w:eastAsia="de-DE"/>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6248CDC"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7"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2"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4"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14"/>
  </w:num>
  <w:num w:numId="6">
    <w:abstractNumId w:val="6"/>
  </w:num>
  <w:num w:numId="7">
    <w:abstractNumId w:val="4"/>
  </w:num>
  <w:num w:numId="8">
    <w:abstractNumId w:val="3"/>
  </w:num>
  <w:num w:numId="9">
    <w:abstractNumId w:val="2"/>
  </w:num>
  <w:num w:numId="10">
    <w:abstractNumId w:val="1"/>
  </w:num>
  <w:num w:numId="11">
    <w:abstractNumId w:val="0"/>
  </w:num>
  <w:num w:numId="12">
    <w:abstractNumId w:val="9"/>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27D53"/>
    <w:rsid w:val="000B7563"/>
    <w:rsid w:val="00141A83"/>
    <w:rsid w:val="001626C5"/>
    <w:rsid w:val="00182BEB"/>
    <w:rsid w:val="00182D5C"/>
    <w:rsid w:val="00206CBB"/>
    <w:rsid w:val="0023705D"/>
    <w:rsid w:val="00270260"/>
    <w:rsid w:val="00295C60"/>
    <w:rsid w:val="002979C2"/>
    <w:rsid w:val="002B4E93"/>
    <w:rsid w:val="003156B3"/>
    <w:rsid w:val="00317D3F"/>
    <w:rsid w:val="00343BEB"/>
    <w:rsid w:val="0035289C"/>
    <w:rsid w:val="0036633E"/>
    <w:rsid w:val="00371F33"/>
    <w:rsid w:val="00392DD4"/>
    <w:rsid w:val="003A53D5"/>
    <w:rsid w:val="003B0771"/>
    <w:rsid w:val="003B4EB1"/>
    <w:rsid w:val="004005AB"/>
    <w:rsid w:val="00406FC2"/>
    <w:rsid w:val="00472D17"/>
    <w:rsid w:val="004A6D28"/>
    <w:rsid w:val="004E3ADB"/>
    <w:rsid w:val="00564AF3"/>
    <w:rsid w:val="005729B1"/>
    <w:rsid w:val="00577123"/>
    <w:rsid w:val="0058328A"/>
    <w:rsid w:val="00592655"/>
    <w:rsid w:val="005C7463"/>
    <w:rsid w:val="00626970"/>
    <w:rsid w:val="00635EF2"/>
    <w:rsid w:val="006670AC"/>
    <w:rsid w:val="00667620"/>
    <w:rsid w:val="006857E6"/>
    <w:rsid w:val="00695D8C"/>
    <w:rsid w:val="006B5740"/>
    <w:rsid w:val="006B7130"/>
    <w:rsid w:val="006C5259"/>
    <w:rsid w:val="006D1FE8"/>
    <w:rsid w:val="006E540A"/>
    <w:rsid w:val="006F2F4E"/>
    <w:rsid w:val="00722158"/>
    <w:rsid w:val="007C6694"/>
    <w:rsid w:val="007E3340"/>
    <w:rsid w:val="007E5C0D"/>
    <w:rsid w:val="00821E30"/>
    <w:rsid w:val="008B0812"/>
    <w:rsid w:val="008D608A"/>
    <w:rsid w:val="00920A98"/>
    <w:rsid w:val="00926731"/>
    <w:rsid w:val="00926B46"/>
    <w:rsid w:val="0093274A"/>
    <w:rsid w:val="00966DC0"/>
    <w:rsid w:val="009C4C38"/>
    <w:rsid w:val="009E535C"/>
    <w:rsid w:val="00A27C65"/>
    <w:rsid w:val="00A32774"/>
    <w:rsid w:val="00A45A50"/>
    <w:rsid w:val="00A754D4"/>
    <w:rsid w:val="00AD4DF8"/>
    <w:rsid w:val="00AE6C4F"/>
    <w:rsid w:val="00AE7411"/>
    <w:rsid w:val="00B171AC"/>
    <w:rsid w:val="00B31123"/>
    <w:rsid w:val="00BE65F1"/>
    <w:rsid w:val="00BF1E63"/>
    <w:rsid w:val="00C2591B"/>
    <w:rsid w:val="00C271C6"/>
    <w:rsid w:val="00C34437"/>
    <w:rsid w:val="00C43DFD"/>
    <w:rsid w:val="00C72627"/>
    <w:rsid w:val="00CA018A"/>
    <w:rsid w:val="00CD6713"/>
    <w:rsid w:val="00D12EEF"/>
    <w:rsid w:val="00D31029"/>
    <w:rsid w:val="00D75723"/>
    <w:rsid w:val="00D80033"/>
    <w:rsid w:val="00D97FBC"/>
    <w:rsid w:val="00DB512B"/>
    <w:rsid w:val="00DB5F11"/>
    <w:rsid w:val="00DE3B1D"/>
    <w:rsid w:val="00E232F3"/>
    <w:rsid w:val="00E306DF"/>
    <w:rsid w:val="00E56586"/>
    <w:rsid w:val="00E9726D"/>
    <w:rsid w:val="00EA5878"/>
    <w:rsid w:val="00EE5627"/>
    <w:rsid w:val="00EF2B07"/>
    <w:rsid w:val="00EF366A"/>
    <w:rsid w:val="00EF6573"/>
    <w:rsid w:val="00F049B1"/>
    <w:rsid w:val="00F10D46"/>
    <w:rsid w:val="00F13ECD"/>
    <w:rsid w:val="00F458E8"/>
    <w:rsid w:val="00F87666"/>
    <w:rsid w:val="00F93120"/>
    <w:rsid w:val="00F93E9A"/>
    <w:rsid w:val="00FA0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37CDCF-C4CC-4EA2-A9F9-C87664C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 w:type="paragraph" w:styleId="Textkrper">
    <w:name w:val="Body Text"/>
    <w:basedOn w:val="Standard"/>
    <w:link w:val="TextkrperZchn"/>
    <w:rsid w:val="006E540A"/>
    <w:pPr>
      <w:suppressAutoHyphens/>
      <w:spacing w:after="140" w:line="288" w:lineRule="auto"/>
      <w:jc w:val="left"/>
    </w:pPr>
    <w:rPr>
      <w:rFonts w:ascii="Liberation Serif" w:eastAsia="Noto Sans CJK SC Regular" w:hAnsi="Liberation Serif" w:cs="FreeSans"/>
      <w:kern w:val="1"/>
      <w:sz w:val="24"/>
      <w:szCs w:val="24"/>
      <w:lang w:val="de-AT" w:eastAsia="zh-CN" w:bidi="hi-IN"/>
    </w:rPr>
  </w:style>
  <w:style w:type="character" w:customStyle="1" w:styleId="TextkrperZchn">
    <w:name w:val="Textkörper Zchn"/>
    <w:basedOn w:val="Absatz-Standardschriftart"/>
    <w:link w:val="Textkrper"/>
    <w:rsid w:val="006E540A"/>
    <w:rPr>
      <w:rFonts w:ascii="Liberation Serif" w:eastAsia="Noto Sans CJK SC Regular" w:hAnsi="Liberation Serif" w:cs="FreeSans"/>
      <w:kern w:val="1"/>
      <w:sz w:val="24"/>
      <w:szCs w:val="24"/>
      <w:lang w:val="de-A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4912-7DA0-4DA5-AB9F-800D730F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Wipfel, Reinhold</dc:creator>
  <cp:keywords/>
  <dc:description/>
  <cp:lastModifiedBy>Taibl, Stefan</cp:lastModifiedBy>
  <cp:revision>2</cp:revision>
  <cp:lastPrinted>2016-01-12T07:27:00Z</cp:lastPrinted>
  <dcterms:created xsi:type="dcterms:W3CDTF">2018-10-18T09:50:00Z</dcterms:created>
  <dcterms:modified xsi:type="dcterms:W3CDTF">2018-10-18T09:50:00Z</dcterms:modified>
</cp:coreProperties>
</file>