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FreeSans" w:hAnsi="FreeSans" w:cs="FreeSans"/>
          <w:sz w:val="22"/>
          <w:szCs w:val="22"/>
        </w:rPr>
      </w:pPr>
      <w:r>
        <w:rPr>
          <w:rFonts w:cs="FreeSans" w:ascii="FreeSans" w:hAnsi="FreeSans"/>
          <w:sz w:val="22"/>
          <w:szCs w:val="22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4188460</wp:posOffset>
            </wp:positionH>
            <wp:positionV relativeFrom="paragraph">
              <wp:posOffset>-170180</wp:posOffset>
            </wp:positionV>
            <wp:extent cx="2124075" cy="1022350"/>
            <wp:effectExtent l="0" t="0" r="0" b="0"/>
            <wp:wrapSquare wrapText="largest"/>
            <wp:docPr id="1" name="Grafi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5" t="-236" r="-115" b="-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FreeSans" w:hAnsi="FreeSans" w:cs="FreeSans"/>
          <w:sz w:val="22"/>
          <w:szCs w:val="22"/>
        </w:rPr>
      </w:pPr>
      <w:r>
        <w:rPr>
          <w:rFonts w:cs="FreeSans" w:ascii="FreeSans" w:hAnsi="FreeSans"/>
          <w:sz w:val="22"/>
          <w:szCs w:val="22"/>
        </w:rPr>
      </w:r>
    </w:p>
    <w:p>
      <w:pPr>
        <w:pStyle w:val="Normal"/>
        <w:rPr>
          <w:rFonts w:ascii="FreeSans" w:hAnsi="FreeSans" w:cs="FreeSans"/>
          <w:sz w:val="22"/>
          <w:szCs w:val="22"/>
        </w:rPr>
      </w:pPr>
      <w:r>
        <w:rPr>
          <w:rFonts w:cs="FreeSans" w:ascii="FreeSans" w:hAnsi="FreeSans"/>
          <w:sz w:val="22"/>
          <w:szCs w:val="22"/>
        </w:rPr>
      </w:r>
    </w:p>
    <w:p>
      <w:pPr>
        <w:pStyle w:val="Normal"/>
        <w:rPr>
          <w:rFonts w:ascii="FreeSans" w:hAnsi="FreeSans" w:cs="FreeSans"/>
          <w:sz w:val="22"/>
          <w:szCs w:val="22"/>
        </w:rPr>
      </w:pPr>
      <w:r>
        <w:rPr>
          <w:rFonts w:cs="FreeSans" w:ascii="FreeSans" w:hAnsi="FreeSans"/>
          <w:sz w:val="22"/>
          <w:szCs w:val="22"/>
        </w:rPr>
      </w:r>
    </w:p>
    <w:p>
      <w:pPr>
        <w:pStyle w:val="Normal"/>
        <w:rPr>
          <w:rFonts w:ascii="FreeSans" w:hAnsi="FreeSans" w:cs="FreeSans"/>
          <w:sz w:val="22"/>
          <w:szCs w:val="22"/>
        </w:rPr>
      </w:pPr>
      <w:r>
        <w:rPr>
          <w:rFonts w:cs="FreeSans" w:ascii="FreeSans" w:hAnsi="FreeSans"/>
          <w:sz w:val="22"/>
          <w:szCs w:val="22"/>
        </w:rPr>
      </w:r>
    </w:p>
    <w:p>
      <w:pPr>
        <w:pStyle w:val="Normal"/>
        <w:spacing w:lineRule="auto" w:line="360"/>
        <w:rPr/>
      </w:pPr>
      <w:r>
        <w:rPr>
          <w:rFonts w:cs="FreeSans" w:ascii="FreeSans" w:hAnsi="FreeSans"/>
          <w:sz w:val="22"/>
          <w:szCs w:val="22"/>
        </w:rPr>
        <w:t>Antrag</w:t>
      </w:r>
      <w:r>
        <w:rPr>
          <w:rFonts w:eastAsia="FreeSans" w:cs="FreeSans" w:ascii="FreeSans" w:hAnsi="FreeSans"/>
          <w:sz w:val="22"/>
          <w:szCs w:val="22"/>
        </w:rPr>
        <w:t xml:space="preserve"> </w:t>
      </w:r>
      <w:r>
        <w:rPr>
          <w:rFonts w:eastAsia="FreeSans" w:cs="FreeSans" w:ascii="FreeSans" w:hAnsi="FreeSans"/>
          <w:sz w:val="22"/>
          <w:szCs w:val="22"/>
        </w:rPr>
        <w:t>7</w:t>
      </w:r>
    </w:p>
    <w:p>
      <w:pPr>
        <w:pStyle w:val="Normal"/>
        <w:spacing w:lineRule="auto" w:line="360"/>
        <w:rPr>
          <w:rFonts w:ascii="FreeSans" w:hAnsi="FreeSans" w:cs="FreeSans"/>
          <w:sz w:val="22"/>
          <w:szCs w:val="22"/>
        </w:rPr>
      </w:pPr>
      <w:r>
        <w:rPr>
          <w:rFonts w:cs="FreeSans" w:ascii="FreeSans" w:hAnsi="FreeSans"/>
          <w:sz w:val="22"/>
          <w:szCs w:val="22"/>
        </w:rPr>
      </w:r>
    </w:p>
    <w:p>
      <w:pPr>
        <w:pStyle w:val="Normal"/>
        <w:spacing w:lineRule="auto" w:line="360"/>
        <w:rPr/>
      </w:pPr>
      <w:r>
        <w:rPr>
          <w:rFonts w:cs="FreeSans" w:ascii="FreeSans" w:hAnsi="FreeSans"/>
          <w:sz w:val="22"/>
          <w:szCs w:val="22"/>
        </w:rPr>
        <w:t>der</w:t>
      </w:r>
      <w:r>
        <w:rPr>
          <w:rFonts w:eastAsia="FreeSans" w:cs="FreeSans" w:ascii="FreeSans" w:hAnsi="FreeSans"/>
          <w:sz w:val="22"/>
          <w:szCs w:val="22"/>
        </w:rPr>
        <w:t xml:space="preserve"> </w:t>
      </w:r>
      <w:r>
        <w:rPr>
          <w:rFonts w:cs="FreeSans" w:ascii="FreeSans" w:hAnsi="FreeSans"/>
          <w:b/>
          <w:sz w:val="22"/>
          <w:szCs w:val="22"/>
        </w:rPr>
        <w:t>AUGE/UG</w:t>
      </w:r>
      <w:r>
        <w:rPr>
          <w:rFonts w:eastAsia="FreeSans" w:cs="FreeSans" w:ascii="FreeSans" w:hAnsi="FreeSans"/>
          <w:b/>
          <w:sz w:val="22"/>
          <w:szCs w:val="22"/>
        </w:rPr>
        <w:t xml:space="preserve"> </w:t>
      </w:r>
      <w:r>
        <w:rPr>
          <w:rFonts w:cs="FreeSans" w:ascii="FreeSans" w:hAnsi="FreeSans"/>
          <w:b/>
          <w:sz w:val="22"/>
          <w:szCs w:val="22"/>
        </w:rPr>
        <w:t>-</w:t>
      </w:r>
    </w:p>
    <w:p>
      <w:pPr>
        <w:pStyle w:val="Normal"/>
        <w:spacing w:lineRule="auto" w:line="360" w:before="0" w:after="113"/>
        <w:rPr/>
      </w:pPr>
      <w:r>
        <w:rPr>
          <w:rFonts w:cs="FreeSans" w:ascii="FreeSans" w:hAnsi="FreeSans"/>
          <w:sz w:val="22"/>
          <w:szCs w:val="22"/>
        </w:rPr>
        <w:t>Alternative,</w:t>
      </w:r>
      <w:r>
        <w:rPr>
          <w:rFonts w:eastAsia="FreeSans" w:cs="FreeSans" w:ascii="FreeSans" w:hAnsi="FreeSans"/>
          <w:sz w:val="22"/>
          <w:szCs w:val="22"/>
        </w:rPr>
        <w:t xml:space="preserve"> </w:t>
      </w:r>
      <w:r>
        <w:rPr>
          <w:rFonts w:cs="FreeSans" w:ascii="FreeSans" w:hAnsi="FreeSans"/>
          <w:sz w:val="22"/>
          <w:szCs w:val="22"/>
        </w:rPr>
        <w:t>Grüne</w:t>
      </w:r>
      <w:r>
        <w:rPr>
          <w:rFonts w:eastAsia="FreeSans" w:cs="FreeSans" w:ascii="FreeSans" w:hAnsi="FreeSans"/>
          <w:sz w:val="22"/>
          <w:szCs w:val="22"/>
        </w:rPr>
        <w:t xml:space="preserve"> und Unabhängige </w:t>
      </w:r>
      <w:r>
        <w:rPr>
          <w:rFonts w:cs="FreeSans" w:ascii="FreeSans" w:hAnsi="FreeSans"/>
          <w:sz w:val="22"/>
          <w:szCs w:val="22"/>
        </w:rPr>
        <w:t>GewerkschafterInnen</w:t>
      </w:r>
    </w:p>
    <w:p>
      <w:pPr>
        <w:pStyle w:val="Normal"/>
        <w:spacing w:lineRule="auto" w:line="360"/>
        <w:rPr/>
      </w:pPr>
      <w:r>
        <w:rPr>
          <w:rFonts w:cs="FreeSans" w:ascii="FreeSans" w:hAnsi="FreeSans"/>
          <w:sz w:val="22"/>
          <w:szCs w:val="22"/>
        </w:rPr>
        <w:t>zur</w:t>
      </w:r>
      <w:r>
        <w:rPr>
          <w:rFonts w:eastAsia="FreeSans" w:cs="FreeSans" w:ascii="FreeSans" w:hAnsi="FreeSans"/>
          <w:sz w:val="22"/>
          <w:szCs w:val="22"/>
        </w:rPr>
        <w:t xml:space="preserve"> 173</w:t>
      </w:r>
      <w:r>
        <w:rPr>
          <w:rFonts w:cs="FreeSans" w:ascii="FreeSans" w:hAnsi="FreeSans"/>
          <w:sz w:val="22"/>
          <w:szCs w:val="22"/>
        </w:rPr>
        <w:t>.</w:t>
      </w:r>
      <w:r>
        <w:rPr>
          <w:rFonts w:eastAsia="FreeSans" w:cs="FreeSans" w:ascii="FreeSans" w:hAnsi="FreeSans"/>
          <w:sz w:val="22"/>
          <w:szCs w:val="22"/>
        </w:rPr>
        <w:t xml:space="preserve"> Vollversammlung </w:t>
      </w:r>
      <w:r>
        <w:rPr>
          <w:rFonts w:cs="FreeSans" w:ascii="FreeSans" w:hAnsi="FreeSans"/>
          <w:sz w:val="22"/>
          <w:szCs w:val="22"/>
        </w:rPr>
        <w:t>der</w:t>
      </w:r>
      <w:r>
        <w:rPr>
          <w:rFonts w:eastAsia="FreeSans" w:cs="FreeSans" w:ascii="FreeSans" w:hAnsi="FreeSans"/>
          <w:sz w:val="22"/>
          <w:szCs w:val="22"/>
        </w:rPr>
        <w:t xml:space="preserve"> A</w:t>
      </w:r>
      <w:r>
        <w:rPr>
          <w:rFonts w:cs="FreeSans" w:ascii="FreeSans" w:hAnsi="FreeSans"/>
          <w:sz w:val="22"/>
          <w:szCs w:val="22"/>
        </w:rPr>
        <w:t>rbeiterkammer</w:t>
      </w:r>
      <w:r>
        <w:rPr>
          <w:rFonts w:eastAsia="FreeSans" w:cs="FreeSans" w:ascii="FreeSans" w:hAnsi="FreeSans"/>
          <w:sz w:val="22"/>
          <w:szCs w:val="22"/>
        </w:rPr>
        <w:t xml:space="preserve"> </w:t>
      </w:r>
      <w:r>
        <w:rPr>
          <w:rFonts w:cs="FreeSans" w:ascii="FreeSans" w:hAnsi="FreeSans"/>
          <w:sz w:val="22"/>
          <w:szCs w:val="22"/>
        </w:rPr>
        <w:t>Wien</w:t>
      </w:r>
    </w:p>
    <w:p>
      <w:pPr>
        <w:pStyle w:val="Sp2txt"/>
        <w:spacing w:lineRule="auto" w:line="360" w:before="0" w:after="280"/>
        <w:rPr/>
      </w:pPr>
      <w:r>
        <w:rPr>
          <w:rFonts w:cs="FreeSans" w:ascii="FreeSans" w:hAnsi="FreeSans"/>
          <w:sz w:val="22"/>
          <w:szCs w:val="22"/>
        </w:rPr>
        <w:t>am</w:t>
      </w:r>
      <w:r>
        <w:rPr>
          <w:rFonts w:eastAsia="FreeSans" w:cs="FreeSans" w:ascii="FreeSans" w:hAnsi="FreeSans"/>
          <w:sz w:val="22"/>
          <w:szCs w:val="22"/>
        </w:rPr>
        <w:t xml:space="preserve"> 12. November 2019</w:t>
      </w:r>
    </w:p>
    <w:p>
      <w:pPr>
        <w:pStyle w:val="AntragText"/>
        <w:spacing w:lineRule="auto" w:line="360"/>
        <w:rPr/>
      </w:pPr>
      <w:r>
        <w:rPr/>
        <w:t>Gentechnikfreiheit im Rahmen des staatlichen Gütesiegels der Argarmarkt Austria (AMA)</w:t>
      </w:r>
    </w:p>
    <w:p>
      <w:pPr>
        <w:pStyle w:val="AntragText"/>
        <w:spacing w:lineRule="auto" w:line="360"/>
        <w:rPr/>
      </w:pPr>
      <w:r>
        <w:rPr/>
      </w:r>
    </w:p>
    <w:p>
      <w:pPr>
        <w:pStyle w:val="AntragText"/>
        <w:spacing w:lineRule="auto" w:line="360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Das AMA-Gütesiegel wird besonders stark als für Konsument*innen verlässliches Qualitätssiegel für Lebensmittel beworben. Derzeit werden in Österreich jedoch etwa Schweine mit dem AMA-Gütesiegel noch immer routinemäßig mit Gentechnik-Futter aus Übersee gemästet. In Brasilien oder Argentinien werden wertvolle Wälder abgeholzt, damit auf den Flächen genmanipuliertes Futtermittel für unsere Schweine angebaut werden kann.</w:t>
      </w:r>
    </w:p>
    <w:p>
      <w:pPr>
        <w:pStyle w:val="AntragText"/>
        <w:spacing w:lineRule="auto" w:line="360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Dass es auch ohne Gentechnik im Futtermittel geht, zeigen bereits mehrere österreichische Branchen: Die österreichische Milchwirtschaft und die österreichischen Eierproduzent*innen füttern seit 2010 komplett ohne Gentechnik. Die heimischen Hühnerfleischproduzent*innen folgten diesem Beispiel im Jahr 2012.</w:t>
      </w:r>
    </w:p>
    <w:p>
      <w:pPr>
        <w:pStyle w:val="AntragText"/>
        <w:spacing w:lineRule="auto" w:line="360" w:before="0" w:after="113"/>
        <w:rPr/>
      </w:pPr>
      <w:r>
        <w:rPr>
          <w:b w:val="false"/>
          <w:bCs w:val="false"/>
          <w:sz w:val="22"/>
          <w:szCs w:val="22"/>
        </w:rPr>
        <w:t>Laut einer repräsentativen Umfrage im Auftrag der Umweltschutzorganisation Greenpeace vom Juni 2019 fordern 96 Prozent der Österreicher*innen, dass für tierische Produkte (beispielsweise Fleisch) mit AMA-Gütesiegel künftig keine Gentechnik-Futtermittel verwendet werden dürfen</w:t>
      </w:r>
      <w:r>
        <w:rPr>
          <w:rStyle w:val="Funotenanker"/>
          <w:rStyle w:val="Funotenanker"/>
          <w:b w:val="false"/>
          <w:bCs w:val="false"/>
          <w:sz w:val="22"/>
          <w:szCs w:val="22"/>
        </w:rPr>
        <w:footnoteReference w:id="2"/>
      </w:r>
      <w:r>
        <w:rPr>
          <w:b w:val="false"/>
          <w:bCs w:val="false"/>
          <w:sz w:val="22"/>
          <w:szCs w:val="22"/>
        </w:rPr>
        <w:t>. Entsprechende Anträge zur Abänderung des AMA-Gesetzes gab es in der Vergangenheit bereits von den Grünen, der SPÖ und der FPÖ.</w:t>
      </w:r>
    </w:p>
    <w:p>
      <w:pPr>
        <w:pStyle w:val="AntragText"/>
        <w:spacing w:lineRule="auto" w:line="360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Laut AMA-Gesetz §3 (1) 2. hat die AMA im eigenen Wirkungsbereich folgende Aufgaben zu vollziehen:</w:t>
      </w:r>
    </w:p>
    <w:p>
      <w:pPr>
        <w:pStyle w:val="AntragText"/>
        <w:spacing w:lineRule="auto" w:line="360"/>
        <w:rPr/>
      </w:pPr>
      <w:r>
        <w:rPr>
          <w:b w:val="false"/>
          <w:bCs w:val="false"/>
          <w:sz w:val="22"/>
          <w:szCs w:val="22"/>
        </w:rPr>
        <w:t>„</w:t>
      </w:r>
      <w:r>
        <w:rPr>
          <w:b w:val="false"/>
          <w:bCs w:val="false"/>
          <w:sz w:val="22"/>
          <w:szCs w:val="22"/>
        </w:rPr>
        <w:t>Maßnahmen zur Qualitätssteigerung, wie insbesondere Entwicklung und Anwendung von Qualitätsrichtlinien für agrarische Produkte und daraus hergestellte Verarbeitungserzeugnisse“</w:t>
      </w:r>
    </w:p>
    <w:p>
      <w:pPr>
        <w:pStyle w:val="Normal"/>
        <w:spacing w:lineRule="auto" w:line="360"/>
        <w:rPr>
          <w:rFonts w:ascii="FreeSans" w:hAnsi="FreeSans" w:cs="FreeSans"/>
          <w:sz w:val="22"/>
          <w:szCs w:val="22"/>
        </w:rPr>
      </w:pPr>
      <w:r>
        <w:rPr>
          <w:rFonts w:cs="FreeSans" w:ascii="FreeSans" w:hAnsi="FreeSans"/>
          <w:sz w:val="22"/>
          <w:szCs w:val="22"/>
        </w:rPr>
      </w:r>
    </w:p>
    <w:p>
      <w:pPr>
        <w:pStyle w:val="Sp2txt"/>
        <w:spacing w:lineRule="auto" w:line="360" w:before="0" w:after="113"/>
        <w:rPr/>
      </w:pPr>
      <w:r>
        <w:rPr>
          <w:rFonts w:eastAsia="FreeSans" w:cs="FreeSans" w:ascii="FreeSans" w:hAnsi="FreeSans"/>
          <w:b/>
          <w:bCs/>
          <w:sz w:val="22"/>
          <w:szCs w:val="22"/>
        </w:rPr>
        <w:t>Die 173. Vollversammlung der Arbeiterkammer Wien möge daher beschließen</w:t>
      </w:r>
      <w:r>
        <w:rPr>
          <w:rFonts w:ascii="FreeSans" w:hAnsi="FreeSans"/>
          <w:b/>
          <w:bCs/>
          <w:sz w:val="22"/>
          <w:szCs w:val="22"/>
        </w:rPr>
        <w:t>:</w:t>
      </w:r>
    </w:p>
    <w:p>
      <w:pPr>
        <w:pStyle w:val="Sp2txt"/>
        <w:spacing w:lineRule="auto" w:line="360" w:before="0" w:after="280"/>
        <w:rPr/>
      </w:pPr>
      <w:r>
        <w:rPr>
          <w:rFonts w:eastAsia="FreeSans" w:cs="FreeSans" w:ascii="FreeSans" w:hAnsi="FreeSans"/>
          <w:b/>
          <w:bCs/>
          <w:sz w:val="22"/>
          <w:szCs w:val="22"/>
        </w:rPr>
        <w:t>Die Arbeiterkammer spricht sich dafür aus, dass die Gentechnik-Freiheit der Futtermittel bei der Erzeugung tierischer Produkte als Vergabekriterium im AMA-Gesetz festgelegt wird und damit das AMA-Gütesiegel künftig den Er</w:t>
      </w:r>
      <w:bookmarkStart w:id="0" w:name="_GoBack"/>
      <w:bookmarkEnd w:id="0"/>
      <w:r>
        <w:rPr>
          <w:rFonts w:eastAsia="FreeSans" w:cs="FreeSans" w:ascii="FreeSans" w:hAnsi="FreeSans"/>
          <w:b/>
          <w:bCs/>
          <w:sz w:val="22"/>
          <w:szCs w:val="22"/>
        </w:rPr>
        <w:t>wartungen der Konsument*innen entgegenkommt.</w:t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FreeSans">
    <w:charset w:val="01"/>
    <w:family w:val="roman"/>
    <w:pitch w:val="variable"/>
  </w:font>
  <w:font w:name="univers_light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unote"/>
        <w:rPr/>
      </w:pPr>
      <w:r>
        <w:rPr>
          <w:rStyle w:val="Funotenzeichen"/>
        </w:rPr>
        <w:footnoteRef/>
      </w:r>
      <w:r>
        <w:rPr>
          <w:rStyle w:val="FootnoteCharacters"/>
          <w:sz w:val="16"/>
          <w:szCs w:val="16"/>
        </w:rPr>
        <w:tab/>
      </w:r>
      <w:hyperlink r:id="rId1" w:tgtFrame="_blank">
        <w:r>
          <w:rPr>
            <w:rStyle w:val="Internetverknpfung"/>
            <w:rFonts w:eastAsia="Times New Roman" w:cs="Times New Roman" w:ascii="univers_light" w:hAnsi="univers_light"/>
            <w:color w:val="F06900"/>
            <w:sz w:val="16"/>
            <w:szCs w:val="16"/>
          </w:rPr>
          <w:t>https://bit.ly/2Xa4xl5</w:t>
        </w:r>
      </w:hyperlink>
    </w:p>
  </w:footnote>
</w:footnote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Hindi"/>
        <w:szCs w:val="24"/>
        <w:lang w:val="de-AT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de-A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FootnoteCharacters">
    <w:name w:val="Footnote Characters"/>
    <w:qFormat/>
    <w:rPr/>
  </w:style>
  <w:style w:type="character" w:styleId="Funotenanker" w:customStyle="1">
    <w:name w:val="Fußnotenanker"/>
    <w:rPr>
      <w:vertAlign w:val="superscript"/>
    </w:rPr>
  </w:style>
  <w:style w:type="character" w:styleId="Internetverknpfung" w:customStyle="1">
    <w:name w:val="Internetverknüpfung"/>
    <w:rPr>
      <w:color w:val="000080"/>
      <w:u w:val="single"/>
    </w:rPr>
  </w:style>
  <w:style w:type="character" w:styleId="BesuchteInternetverknpfung" w:customStyle="1">
    <w:name w:val="Besuchte Internetverknüpfung"/>
    <w:rPr>
      <w:color w:val="800000"/>
      <w:u w:val="single"/>
    </w:rPr>
  </w:style>
  <w:style w:type="character" w:styleId="Endnotenanker" w:customStyle="1">
    <w:name w:val="Endnotenanker"/>
    <w:rPr>
      <w:vertAlign w:val="superscript"/>
    </w:rPr>
  </w:style>
  <w:style w:type="character" w:styleId="EndnoteCharacters">
    <w:name w:val="Endnote Characters"/>
    <w:qFormat/>
    <w:rPr/>
  </w:style>
  <w:style w:type="character" w:styleId="Funotenzeichen">
    <w:name w:val="Fußnotenzeichen"/>
    <w:qFormat/>
    <w:rPr/>
  </w:style>
  <w:style w:type="character" w:styleId="Endnotenzeichen">
    <w:name w:val="Endnotenzeichen"/>
    <w:qFormat/>
    <w:rPr/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Normal"/>
    <w:pPr>
      <w:spacing w:before="0" w:after="120"/>
    </w:pPr>
    <w:rPr/>
  </w:style>
  <w:style w:type="paragraph" w:styleId="Liste">
    <w:name w:val="List"/>
    <w:basedOn w:val="Textkrper"/>
    <w:pPr/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Antragberschrift" w:customStyle="1">
    <w:name w:val="Antrag Überschrift"/>
    <w:basedOn w:val="Normal"/>
    <w:qFormat/>
    <w:pPr/>
    <w:rPr>
      <w:rFonts w:ascii="FreeSans" w:hAnsi="FreeSans" w:cs="FreeSans"/>
      <w:bCs/>
    </w:rPr>
  </w:style>
  <w:style w:type="paragraph" w:styleId="AntragText" w:customStyle="1">
    <w:name w:val="Antrag Text"/>
    <w:basedOn w:val="Antragberschrift"/>
    <w:qFormat/>
    <w:pPr/>
    <w:rPr>
      <w:b/>
    </w:rPr>
  </w:style>
  <w:style w:type="paragraph" w:styleId="Sp2txt" w:customStyle="1">
    <w:name w:val="sp2txt"/>
    <w:basedOn w:val="Normal"/>
    <w:qFormat/>
    <w:pPr>
      <w:spacing w:before="280" w:after="280"/>
    </w:pPr>
    <w:rPr>
      <w:rFonts w:cs="Times New Roman"/>
    </w:rPr>
  </w:style>
  <w:style w:type="paragraph" w:styleId="Funot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bit.ly/2Xa4xl5" TargetMode="Externa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LibreOffice/6.0.7.3$Linux_X86_64 LibreOffice_project/00m0$Build-3</Application>
  <Pages>1</Pages>
  <Words>242</Words>
  <Characters>1766</Characters>
  <CharactersWithSpaces>1993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2019-10-22T12:04:00Z</dcterms:created>
  <dc:creator/>
  <dc:description/>
  <dc:language>de-CH</dc:language>
  <cp:lastModifiedBy/>
  <dcterms:modified xsi:type="dcterms:W3CDTF">2019-10-29T10:12:01Z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