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val="de-AT" w:eastAsia="zh-CN" w:bidi="hi-IN"/>
        </w:rPr>
        <w:drawing>
          <wp:anchor behindDoc="0" distT="0" distB="8255" distL="114935" distR="114935" simplePos="0" locked="0" layoutInCell="1" allowOverlap="1" relativeHeight="2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22170" cy="1020445"/>
            <wp:effectExtent l="0" t="0" r="0" b="0"/>
            <wp:wrapSquare wrapText="bothSides"/>
            <wp:docPr id="1" name="Bild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rPr>
          <w:rFonts w:ascii="FreeSans" w:hAnsi="FreeSans" w:eastAsia="Lucida Sans Unicode" w:cs="FreeSans"/>
          <w:kern w:val="2"/>
          <w:sz w:val="22"/>
          <w:lang w:val="de-AT" w:eastAsia="zh-CN" w:bidi="hi-IN"/>
        </w:rPr>
      </w:pPr>
      <w:r>
        <w:rPr>
          <w:rFonts w:eastAsia="Lucida Sans Unicode" w:cs="FreeSans" w:ascii="FreeSans" w:hAnsi="FreeSans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FreeSans" w:hAnsi="FreeSans" w:eastAsia="Lucida Sans Unicode" w:cs="FreeSans"/>
          <w:kern w:val="2"/>
          <w:sz w:val="22"/>
          <w:lang w:val="de-AT" w:eastAsia="zh-CN" w:bidi="hi-IN"/>
        </w:rPr>
      </w:pPr>
      <w:r>
        <w:rPr>
          <w:rFonts w:eastAsia="Lucida Sans Unicode" w:cs="FreeSans" w:ascii="FreeSans" w:hAnsi="FreeSans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FreeSans" w:hAnsi="FreeSans" w:eastAsia="Lucida Sans Unicode" w:cs="FreeSans"/>
          <w:kern w:val="2"/>
          <w:sz w:val="22"/>
          <w:lang w:val="de-AT" w:eastAsia="zh-CN" w:bidi="hi-IN"/>
        </w:rPr>
      </w:pPr>
      <w:r>
        <w:rPr>
          <w:rFonts w:eastAsia="Lucida Sans Unicode" w:cs="FreeSans" w:ascii="FreeSans" w:hAnsi="FreeSans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FreeSans" w:hAnsi="FreeSans" w:eastAsia="Lucida Sans Unicode" w:cs="FreeSans"/>
          <w:kern w:val="2"/>
          <w:sz w:val="22"/>
          <w:lang w:val="de-AT" w:eastAsia="zh-CN" w:bidi="hi-IN"/>
        </w:rPr>
      </w:pPr>
      <w:r>
        <w:rPr>
          <w:rFonts w:eastAsia="Lucida Sans Unicode" w:cs="FreeSans" w:ascii="FreeSans" w:hAnsi="FreeSans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  <w:t>Antrag 13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sz w:val="22"/>
          <w:lang w:val="de-AT" w:eastAsia="zh-CN" w:bidi="hi-IN"/>
        </w:rPr>
      </w:pP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der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b/>
          <w:kern w:val="2"/>
          <w:sz w:val="22"/>
          <w:lang w:val="de-AT" w:eastAsia="zh-CN" w:bidi="hi-IN"/>
        </w:rPr>
        <w:t>AUGE/UG</w:t>
      </w:r>
      <w:r>
        <w:rPr>
          <w:rFonts w:eastAsia="FreeSans" w:cs="Arial" w:ascii="Arial" w:hAnsi="Arial"/>
          <w:b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b/>
          <w:kern w:val="2"/>
          <w:sz w:val="22"/>
          <w:lang w:val="de-AT" w:eastAsia="zh-CN" w:bidi="hi-IN"/>
        </w:rPr>
        <w:t>-</w:t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Grüne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GewerkschafterInnen und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Alternative /Unabhängige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GewerkschafterInnen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bCs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bCs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Lucida Sans Unicode" w:cs="Tahoma"/>
          <w:kern w:val="2"/>
          <w:sz w:val="24"/>
          <w:szCs w:val="24"/>
          <w:lang w:val="de-AT" w:eastAsia="zh-CN" w:bidi="hi-IN"/>
        </w:rPr>
      </w:pP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zur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2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.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Vollversammlung der 16. Funktionsperiode 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der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A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rbeiterkammer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sz w:val="22"/>
          <w:lang w:val="de-AT" w:eastAsia="zh-CN" w:bidi="hi-IN"/>
        </w:rPr>
        <w:t>Niederösterreich</w:t>
      </w:r>
    </w:p>
    <w:p>
      <w:pPr>
        <w:pStyle w:val="Normal"/>
        <w:widowControl w:val="false"/>
        <w:suppressAutoHyphens w:val="true"/>
        <w:spacing w:before="0" w:after="280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Times New Roman" w:cs="Arial" w:ascii="Arial" w:hAnsi="Arial"/>
          <w:kern w:val="2"/>
          <w:sz w:val="22"/>
          <w:lang w:val="de-AT" w:eastAsia="zh-CN" w:bidi="hi-IN"/>
        </w:rPr>
        <w:t>am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08.11. 2019</w:t>
      </w:r>
    </w:p>
    <w:p>
      <w:pPr>
        <w:pStyle w:val="Normal"/>
        <w:widowControl w:val="false"/>
        <w:suppressAutoHyphens w:val="true"/>
        <w:spacing w:before="0" w:after="280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b/>
          <w:kern w:val="2"/>
          <w:sz w:val="22"/>
          <w:lang w:val="de-AT" w:eastAsia="zh-CN" w:bidi="hi-IN"/>
        </w:rPr>
        <w:t xml:space="preserve">Verkehrsträgerübergreifende PendlerInnen-Netzkarte Ostregion    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Laut Information der AK NÖ (br|news 03/2019) hat eine aktuelle Befragung von PendlerInnen in Wien, NÖ und Bgld. ergeben, dass es gleich mehrere Faktoren sind, die einen Umstieg auf öffentliche Verkehrsmittel für PendlerInnen attraktiver machen würden. 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Neben dem noch deutlich zu erweiternden Angebot öffentlicher Verkehrsmittel zum Arbeitsplatz und einer besseren Taktung des öffentlichen Verkehrs ist das Kriterium „günstige, unkomplizierte Preisgestaltung“ ein sehr wesentliches. 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Gerade die Ostregion, die als bevölkerungs- und verkehrsreichster Teil Niederösterreichs gilt, kann hier Vorbildwirkung einnehmen, in dem sie für PendlerInnen ähnlich wie für SchülerInnen und Jugendliche ein einfach nutzbares und </w:t>
      </w:r>
      <w:r>
        <w:rPr>
          <w:rFonts w:eastAsia="FreeSans" w:cs="Arial" w:ascii="Arial" w:hAnsi="Arial"/>
          <w:kern w:val="2"/>
          <w:sz w:val="22"/>
          <w:highlight w:val="yellow"/>
          <w:lang w:val="de-AT" w:eastAsia="zh-CN" w:bidi="hi-IN"/>
        </w:rPr>
        <w:t>leistbares PendlerInnen-</w:t>
      </w:r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Ticket einführt, das Bedürfnisse der NutzerInnen entspricht. Es </w:t>
      </w:r>
      <w:r>
        <w:rPr>
          <w:rFonts w:eastAsia="FreeSans" w:cs="Arial" w:ascii="Arial" w:hAnsi="Arial"/>
          <w:kern w:val="2"/>
          <w:sz w:val="22"/>
          <w:highlight w:val="yellow"/>
          <w:lang w:val="de-AT" w:eastAsia="zh-CN" w:bidi="hi-IN"/>
        </w:rPr>
        <w:t>kann nur zum Nutzen der unterschiedlicher Verkehrsmittel-Anbieter aber auch der Kliamentlastung sein, wenn Menschen auf öffentliche Verkehrsmittel umsteigen.</w:t>
      </w:r>
      <w:bookmarkStart w:id="0" w:name="_GoBack"/>
      <w:bookmarkEnd w:id="0"/>
      <w:r>
        <w:rPr>
          <w:rFonts w:eastAsia="FreeSans" w:cs="Arial" w:ascii="Arial" w:hAnsi="Arial"/>
          <w:kern w:val="2"/>
          <w:sz w:val="22"/>
          <w:lang w:val="de-AT" w:eastAsia="zh-CN" w:bidi="hi-IN"/>
        </w:rPr>
        <w:t xml:space="preserve"> 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kern w:val="2"/>
          <w:sz w:val="22"/>
          <w:lang w:val="de-AT" w:eastAsia="zh-CN" w:bidi="hi-IN"/>
        </w:rPr>
        <w:t>Die AK NÖ fordert daher:</w:t>
      </w:r>
    </w:p>
    <w:p>
      <w:pPr>
        <w:pStyle w:val="Normal"/>
        <w:widowControl w:val="false"/>
        <w:suppressAutoHyphens w:val="true"/>
        <w:rPr>
          <w:rFonts w:ascii="Arial" w:hAnsi="Arial" w:eastAsia="FreeSans" w:cs="Arial"/>
          <w:b/>
          <w:b/>
          <w:kern w:val="2"/>
          <w:sz w:val="22"/>
          <w:lang w:val="de-AT" w:eastAsia="zh-CN" w:bidi="hi-IN"/>
        </w:rPr>
      </w:pPr>
      <w:r>
        <w:rPr>
          <w:rFonts w:eastAsia="FreeSans" w:cs="Arial" w:ascii="Arial" w:hAnsi="Arial"/>
          <w:b/>
          <w:kern w:val="2"/>
          <w:sz w:val="22"/>
          <w:lang w:val="de-AT" w:eastAsia="zh-CN" w:bidi="hi-IN"/>
        </w:rPr>
        <w:t>Transparente, vereinfachte und kostengünstigere Gestaltung von Öffi-Tarifen durch Einführung einer für die gesamte Ost-Region geltenden PendlerInnen-Netzkarte, die nicht auf einen oder nur wenige Verkehrsträger beschränkt ist.</w:t>
      </w:r>
    </w:p>
    <w:p>
      <w:pPr>
        <w:pStyle w:val="Normal"/>
        <w:widowControl w:val="false"/>
        <w:suppressAutoHyphens w:val="true"/>
        <w:rPr/>
      </w:pPr>
      <w:r>
        <w:rPr/>
      </w:r>
    </w:p>
    <w:sectPr>
      <w:headerReference w:type="default" r:id="rId3"/>
      <w:type w:val="nextPage"/>
      <w:pgSz w:w="11906" w:h="16838"/>
      <w:pgMar w:left="1304" w:right="2098" w:header="709" w:top="2268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tillium">
    <w:charset w:val="01"/>
    <w:family w:val="roman"/>
    <w:pitch w:val="variable"/>
  </w:font>
  <w:font w:name="Titillium Bd">
    <w:charset w:val="01"/>
    <w:family w:val="roman"/>
    <w:pitch w:val="variable"/>
  </w:font>
  <w:font w:name="Titillium Up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  <w:p>
    <w:pPr>
      <w:pStyle w:val="Kopfzeil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1B461A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58165" cy="594360"/>
              <wp:effectExtent l="0" t="0" r="0" b="0"/>
              <wp:wrapNone/>
              <wp:docPr id="2" name="Rechteck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640" cy="5936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4" fillcolor="#4f81bd" stroked="f" style="position:absolute;margin-left:-148.8pt;margin-top:14.4pt;width:43.85pt;height:46.7pt" wp14:anchorId="1B461A82">
              <w10:wrap type="none"/>
              <v:fill o:detectmouseclick="t" type="solid" color2="#b07e42"/>
              <v:stroke color="#3465a4" weight="25560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0260"/>
    <w:pPr>
      <w:widowControl/>
      <w:bidi w:val="0"/>
      <w:jc w:val="left"/>
    </w:pPr>
    <w:rPr>
      <w:rFonts w:ascii="Titillium" w:hAnsi="Titillium" w:eastAsia="Calibri" w:cs="" w:cstheme="minorBidi" w:eastAsiaTheme="minorHAnsi"/>
      <w:color w:val="auto"/>
      <w:kern w:val="0"/>
      <w:sz w:val="20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5"/>
    <w:qFormat/>
    <w:rsid w:val="00920a98"/>
    <w:pPr>
      <w:keepNext w:val="true"/>
      <w:keepLines/>
      <w:spacing w:before="240" w:after="0"/>
      <w:outlineLvl w:val="0"/>
    </w:pPr>
    <w:rPr>
      <w:rFonts w:ascii="Titillium Bd" w:hAnsi="Titillium Bd" w:eastAsia="" w:cs="" w:cstheme="majorBidi" w:eastAsiaTheme="majorEastAsia"/>
      <w:b/>
      <w:bCs/>
      <w:szCs w:val="28"/>
    </w:rPr>
  </w:style>
  <w:style w:type="paragraph" w:styleId="Berschrift2">
    <w:name w:val="Heading 2"/>
    <w:basedOn w:val="Berschrift1"/>
    <w:next w:val="Normal"/>
    <w:link w:val="berschrift2Zchn"/>
    <w:uiPriority w:val="9"/>
    <w:unhideWhenUsed/>
    <w:qFormat/>
    <w:rsid w:val="0093274a"/>
    <w:pPr>
      <w:outlineLvl w:val="1"/>
    </w:pPr>
    <w:rPr>
      <w:bCs w:val="false"/>
      <w:color w:val="C00000"/>
      <w:szCs w:val="26"/>
    </w:rPr>
  </w:style>
  <w:style w:type="paragraph" w:styleId="Berschrift3">
    <w:name w:val="Heading 3"/>
    <w:basedOn w:val="Normal"/>
    <w:next w:val="Normal"/>
    <w:link w:val="berschrift3Zchn"/>
    <w:uiPriority w:val="4"/>
    <w:unhideWhenUsed/>
    <w:qFormat/>
    <w:rsid w:val="00bf1e63"/>
    <w:pPr>
      <w:outlineLvl w:val="2"/>
    </w:pPr>
    <w:rPr>
      <w:rFonts w:ascii="Titillium Bd" w:hAnsi="Titillium Bd"/>
      <w:caps/>
      <w:sz w:val="22"/>
    </w:rPr>
  </w:style>
  <w:style w:type="paragraph" w:styleId="Berschrift4">
    <w:name w:val="Heading 4"/>
    <w:basedOn w:val="Berschrift3"/>
    <w:next w:val="Normal"/>
    <w:link w:val="berschrift4Zchn"/>
    <w:uiPriority w:val="6"/>
    <w:unhideWhenUsed/>
    <w:qFormat/>
    <w:rsid w:val="00920a98"/>
    <w:pPr>
      <w:keepNext w:val="true"/>
      <w:keepLines/>
      <w:outlineLvl w:val="3"/>
    </w:pPr>
    <w:rPr>
      <w:rFonts w:eastAsia="" w:cs="" w:cstheme="majorBidi" w:eastAsiaTheme="majorEastAsia"/>
      <w:b/>
      <w:bCs/>
      <w:iCs/>
      <w:color w:val="C00000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d12eef"/>
    <w:pPr>
      <w:keepNext w:val="true"/>
      <w:keepLines/>
      <w:outlineLvl w:val="4"/>
    </w:pPr>
    <w:rPr>
      <w:rFonts w:ascii="Titillium Up" w:hAnsi="Titillium Up" w:eastAsia="" w:cs="" w:cstheme="majorBidi" w:eastAsiaTheme="majorEastAsia"/>
      <w:b/>
      <w:i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7e3340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e3340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e3340"/>
    <w:rPr>
      <w:rFonts w:ascii="Tahoma" w:hAnsi="Tahoma" w:cs="Tahoma"/>
      <w:sz w:val="16"/>
      <w:szCs w:val="16"/>
    </w:rPr>
  </w:style>
  <w:style w:type="character" w:styleId="Berschrift1Zchn" w:customStyle="1">
    <w:name w:val="Überschrift 1 Zchn"/>
    <w:basedOn w:val="DefaultParagraphFont"/>
    <w:link w:val="berschrift1"/>
    <w:uiPriority w:val="5"/>
    <w:qFormat/>
    <w:rsid w:val="003156b3"/>
    <w:rPr>
      <w:rFonts w:ascii="Titillium Bd" w:hAnsi="Titillium Bd" w:eastAsia="" w:cs="" w:cstheme="majorBidi" w:eastAsiaTheme="majorEastAsia"/>
      <w:b/>
      <w:bCs/>
      <w:sz w:val="18"/>
      <w:szCs w:val="28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93274a"/>
    <w:rPr>
      <w:rFonts w:ascii="Titillium Bd" w:hAnsi="Titillium Bd" w:eastAsia="" w:cs="" w:cstheme="majorBidi" w:eastAsiaTheme="majorEastAsia"/>
      <w:b/>
      <w:color w:val="C00000"/>
      <w:sz w:val="20"/>
      <w:szCs w:val="26"/>
    </w:rPr>
  </w:style>
  <w:style w:type="character" w:styleId="BookTitle">
    <w:name w:val="Book Title"/>
    <w:basedOn w:val="DefaultParagraphFont"/>
    <w:uiPriority w:val="33"/>
    <w:qFormat/>
    <w:rsid w:val="00392dd4"/>
    <w:rPr>
      <w:b/>
      <w:bCs/>
      <w:smallCaps/>
      <w:spacing w:val="5"/>
    </w:rPr>
  </w:style>
  <w:style w:type="character" w:styleId="Berschrift3Zchn" w:customStyle="1">
    <w:name w:val="Überschrift 3 Zchn"/>
    <w:basedOn w:val="DefaultParagraphFont"/>
    <w:link w:val="berschrift3"/>
    <w:uiPriority w:val="4"/>
    <w:qFormat/>
    <w:rsid w:val="00bf1e63"/>
    <w:rPr>
      <w:rFonts w:ascii="Titillium Bd" w:hAnsi="Titillium Bd"/>
      <w:caps/>
    </w:rPr>
  </w:style>
  <w:style w:type="character" w:styleId="TitelZchn" w:customStyle="1">
    <w:name w:val="Titel Zchn"/>
    <w:basedOn w:val="DefaultParagraphFont"/>
    <w:link w:val="Titel"/>
    <w:uiPriority w:val="2"/>
    <w:qFormat/>
    <w:rsid w:val="00c34437"/>
    <w:rPr>
      <w:rFonts w:ascii="Titillium" w:hAnsi="Titillium" w:eastAsia="" w:cs="" w:cstheme="majorBidi" w:eastAsiaTheme="majorEastAsia"/>
      <w:b/>
      <w:caps/>
      <w:spacing w:val="5"/>
      <w:kern w:val="2"/>
      <w:sz w:val="28"/>
      <w:szCs w:val="52"/>
    </w:rPr>
  </w:style>
  <w:style w:type="character" w:styleId="Berschrift4Zchn" w:customStyle="1">
    <w:name w:val="Überschrift 4 Zchn"/>
    <w:basedOn w:val="DefaultParagraphFont"/>
    <w:link w:val="berschrift4"/>
    <w:uiPriority w:val="6"/>
    <w:qFormat/>
    <w:rsid w:val="003156b3"/>
    <w:rPr>
      <w:rFonts w:ascii="Titillium Bd" w:hAnsi="Titillium Bd" w:eastAsia="" w:cs="" w:cstheme="majorBidi" w:eastAsiaTheme="majorEastAsia"/>
      <w:b/>
      <w:bCs/>
      <w:iCs/>
      <w:caps/>
      <w:color w:val="C00000"/>
      <w:sz w:val="20"/>
    </w:rPr>
  </w:style>
  <w:style w:type="character" w:styleId="Internetverknpfung">
    <w:name w:val="Internetverknüpfung"/>
    <w:basedOn w:val="DefaultParagraphFont"/>
    <w:uiPriority w:val="99"/>
    <w:unhideWhenUsed/>
    <w:rsid w:val="0093274a"/>
    <w:rPr>
      <w:strike w:val="false"/>
      <w:dstrike w:val="false"/>
      <w:color w:val="3366CC"/>
      <w:u w:val="none"/>
      <w:effect w:val="non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d12eef"/>
    <w:rPr>
      <w:rFonts w:ascii="Titillium Up" w:hAnsi="Titillium Up" w:eastAsia="" w:cs="" w:cstheme="majorBidi" w:eastAsiaTheme="majorEastAsia"/>
      <w:b/>
      <w:i/>
      <w:caps/>
      <w:sz w:val="20"/>
    </w:rPr>
  </w:style>
  <w:style w:type="character" w:styleId="IntenseEmphasis">
    <w:name w:val="Intense Emphasis"/>
    <w:basedOn w:val="DefaultParagraphFont"/>
    <w:uiPriority w:val="21"/>
    <w:qFormat/>
    <w:rsid w:val="00920a98"/>
    <w:rPr>
      <w:rFonts w:ascii="Titillium" w:hAnsi="Titillium"/>
      <w:b/>
      <w:bCs/>
      <w:i/>
      <w:iCs/>
      <w:caps w:val="false"/>
      <w:smallCaps w:val="false"/>
      <w:strike w:val="false"/>
      <w:dstrike w:val="false"/>
      <w:vanish w:val="false"/>
      <w:color w:val="C00000"/>
      <w:position w:val="0"/>
      <w:sz w:val="18"/>
      <w:sz w:val="18"/>
      <w:vertAlign w:val="baseline"/>
    </w:rPr>
  </w:style>
  <w:style w:type="character" w:styleId="Strong">
    <w:name w:val="Strong"/>
    <w:basedOn w:val="DefaultParagraphFont"/>
    <w:uiPriority w:val="22"/>
    <w:qFormat/>
    <w:rsid w:val="00bf1e63"/>
    <w:rPr>
      <w:rFonts w:ascii="Titillium Bd" w:hAnsi="Titillium Bd"/>
      <w:b/>
      <w:bCs/>
      <w:i w:val="false"/>
      <w:sz w:val="20"/>
    </w:rPr>
  </w:style>
  <w:style w:type="character" w:styleId="IntensivesZitatZchn" w:customStyle="1">
    <w:name w:val="Intensives Zitat Zchn"/>
    <w:basedOn w:val="DefaultParagraphFont"/>
    <w:link w:val="IntensivesZitat"/>
    <w:uiPriority w:val="30"/>
    <w:qFormat/>
    <w:rsid w:val="00b31123"/>
    <w:rPr>
      <w:rFonts w:ascii="Titillium" w:hAnsi="Titillium"/>
      <w:b/>
      <w:bCs/>
      <w:i/>
      <w:iCs/>
      <w:sz w:val="18"/>
    </w:rPr>
  </w:style>
  <w:style w:type="character" w:styleId="ListenabsatzZchn" w:customStyle="1">
    <w:name w:val="Listenabsatz Zchn"/>
    <w:basedOn w:val="DefaultParagraphFont"/>
    <w:link w:val="Listenabsatz"/>
    <w:uiPriority w:val="34"/>
    <w:qFormat/>
    <w:rsid w:val="007c6694"/>
    <w:rPr>
      <w:rFonts w:ascii="Titillium" w:hAnsi="Titillium"/>
      <w:sz w:val="18"/>
    </w:rPr>
  </w:style>
  <w:style w:type="character" w:styleId="EinzugmitAufzhlungszeichenZchn" w:customStyle="1">
    <w:name w:val="Einzug mit Aufzählungszeichen Zchn"/>
    <w:basedOn w:val="ListenabsatzZchn"/>
    <w:link w:val="EinzugmitAufzhlungszeichen"/>
    <w:uiPriority w:val="1"/>
    <w:qFormat/>
    <w:rsid w:val="00ee5627"/>
    <w:rPr>
      <w:rFonts w:ascii="Titillium" w:hAnsi="Titillium"/>
      <w:sz w:val="18"/>
    </w:rPr>
  </w:style>
  <w:style w:type="character" w:styleId="EinzugmitNummernfolgeZchn" w:customStyle="1">
    <w:name w:val="Einzug mit Nummernfolge Zchn"/>
    <w:basedOn w:val="EinzugmitAufzhlungszeichenZchn"/>
    <w:link w:val="EinzugmitNummernfolge"/>
    <w:uiPriority w:val="2"/>
    <w:qFormat/>
    <w:rsid w:val="00e56586"/>
    <w:rPr>
      <w:rFonts w:ascii="Titillium" w:hAnsi="Titillium"/>
      <w:sz w:val="18"/>
    </w:rPr>
  </w:style>
  <w:style w:type="character" w:styleId="EinzugmitNummernundabcZchn" w:customStyle="1">
    <w:name w:val="Einzug mit Nummern und abc Zchn"/>
    <w:basedOn w:val="EinzugmitNummernfolgeZchn"/>
    <w:link w:val="EinzugmitNummernundabc"/>
    <w:qFormat/>
    <w:rsid w:val="008b0812"/>
    <w:rPr>
      <w:rFonts w:ascii="Titillium" w:hAnsi="Titillium"/>
      <w:sz w:val="18"/>
    </w:rPr>
  </w:style>
  <w:style w:type="character" w:styleId="AbsenderZchn" w:customStyle="1">
    <w:name w:val="Absender Zchn"/>
    <w:basedOn w:val="DefaultParagraphFont"/>
    <w:link w:val="Absender"/>
    <w:uiPriority w:val="1"/>
    <w:qFormat/>
    <w:rsid w:val="00270260"/>
    <w:rPr>
      <w:rFonts w:ascii="Titillium" w:hAnsi="Titillium" w:eastAsia="Times New Roman" w:cs="Titillium"/>
      <w:b/>
      <w:sz w:val="18"/>
      <w:szCs w:val="18"/>
      <w:lang w:val="de-AT" w:eastAsia="de-DE"/>
    </w:rPr>
  </w:style>
  <w:style w:type="character" w:styleId="GruformelZchn" w:customStyle="1">
    <w:name w:val="Grußformel Zchn"/>
    <w:basedOn w:val="DefaultParagraphFont"/>
    <w:link w:val="Gruformel"/>
    <w:uiPriority w:val="99"/>
    <w:qFormat/>
    <w:rsid w:val="00406fc2"/>
    <w:rPr>
      <w:rFonts w:ascii="Titillium" w:hAnsi="Titillium" w:eastAsia="Times New Roman" w:cs="Times New Roman"/>
      <w:sz w:val="20"/>
      <w:szCs w:val="24"/>
      <w:lang w:val="de-AT" w:eastAsia="de-DE"/>
    </w:rPr>
  </w:style>
  <w:style w:type="character" w:styleId="Betont">
    <w:name w:val="Betont"/>
    <w:basedOn w:val="DefaultParagraphFont"/>
    <w:uiPriority w:val="20"/>
    <w:qFormat/>
    <w:rsid w:val="00bf1e63"/>
    <w:rPr>
      <w:rFonts w:ascii="Titillium" w:hAnsi="Titillium"/>
      <w:b w:val="false"/>
      <w:i/>
      <w:iCs/>
      <w:sz w:val="20"/>
    </w:rPr>
  </w:style>
  <w:style w:type="character" w:styleId="IntenseReference">
    <w:name w:val="Intense Reference"/>
    <w:basedOn w:val="DefaultParagraphFont"/>
    <w:uiPriority w:val="32"/>
    <w:qFormat/>
    <w:rsid w:val="00270260"/>
    <w:rPr>
      <w:b/>
      <w:bCs/>
      <w:smallCaps/>
      <w:color w:val="808080" w:themeColor="background1" w:themeShade="80"/>
      <w:spacing w:val="5"/>
    </w:rPr>
  </w:style>
  <w:style w:type="character" w:styleId="TextkrperZchn" w:customStyle="1">
    <w:name w:val="Textkörper Zchn"/>
    <w:basedOn w:val="DefaultParagraphFont"/>
    <w:link w:val="Textkrper"/>
    <w:qFormat/>
    <w:rsid w:val="006e540a"/>
    <w:rPr>
      <w:rFonts w:ascii="Liberation Serif" w:hAnsi="Liberation Serif" w:eastAsia="Noto Sans CJK SC Regular" w:cs="FreeSans"/>
      <w:kern w:val="2"/>
      <w:sz w:val="24"/>
      <w:szCs w:val="24"/>
      <w:lang w:val="de-AT" w:eastAsia="zh-CN" w:bidi="hi-IN"/>
    </w:rPr>
  </w:style>
  <w:style w:type="character" w:styleId="ListLabel1">
    <w:name w:val="ListLabel 1"/>
    <w:qFormat/>
    <w:rPr>
      <w:b/>
      <w:i w:val="false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i w:val="false"/>
      <w:caps w:val="false"/>
      <w:smallCaps w:val="false"/>
      <w:strike w:val="false"/>
      <w:dstrike w:val="false"/>
      <w:vanish w:val="false"/>
      <w:position w:val="0"/>
      <w:sz w:val="18"/>
      <w:sz w:val="18"/>
      <w:vertAlign w:val="baseline"/>
    </w:rPr>
  </w:style>
  <w:style w:type="character" w:styleId="ListLabel10">
    <w:name w:val="ListLabel 10"/>
    <w:qFormat/>
    <w:rPr>
      <w:b/>
      <w:i w:val="false"/>
      <w:caps w:val="false"/>
      <w:smallCaps w:val="false"/>
      <w:strike w:val="false"/>
      <w:dstrike w:val="false"/>
      <w:vanish w:val="false"/>
      <w:position w:val="0"/>
      <w:sz w:val="18"/>
      <w:sz w:val="18"/>
      <w:vertAlign w:val="baseline"/>
    </w:rPr>
  </w:style>
  <w:style w:type="character" w:styleId="ListLabel11">
    <w:name w:val="ListLabel 11"/>
    <w:qFormat/>
    <w:rPr>
      <w:sz w:val="18"/>
    </w:rPr>
  </w:style>
  <w:style w:type="character" w:styleId="ListLabel12">
    <w:name w:val="ListLabel 12"/>
    <w:qFormat/>
    <w:rPr>
      <w:sz w:val="18"/>
    </w:rPr>
  </w:style>
  <w:style w:type="character" w:styleId="ListLabel13">
    <w:name w:val="ListLabel 13"/>
    <w:qFormat/>
    <w:rPr>
      <w:sz w:val="18"/>
    </w:rPr>
  </w:style>
  <w:style w:type="character" w:styleId="ListLabel14">
    <w:name w:val="ListLabel 14"/>
    <w:qFormat/>
    <w:rPr>
      <w:sz w:val="18"/>
    </w:rPr>
  </w:style>
  <w:style w:type="character" w:styleId="ListLabel15">
    <w:name w:val="ListLabel 15"/>
    <w:qFormat/>
    <w:rPr>
      <w:sz w:val="18"/>
    </w:rPr>
  </w:style>
  <w:style w:type="character" w:styleId="ListLabel16">
    <w:name w:val="ListLabel 16"/>
    <w:qFormat/>
    <w:rPr>
      <w:sz w:val="18"/>
    </w:rPr>
  </w:style>
  <w:style w:type="character" w:styleId="ListLabel17">
    <w:name w:val="ListLabel 17"/>
    <w:qFormat/>
    <w:rPr>
      <w:sz w:val="18"/>
    </w:rPr>
  </w:style>
  <w:style w:type="character" w:styleId="ListLabel18">
    <w:name w:val="ListLabel 18"/>
    <w:qFormat/>
    <w:rPr>
      <w:sz w:val="18"/>
    </w:rPr>
  </w:style>
  <w:style w:type="character" w:styleId="ListLabel19">
    <w:name w:val="ListLabel 19"/>
    <w:qFormat/>
    <w:rPr>
      <w:b/>
      <w:i w:val="false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  <w:i w:val="false"/>
      <w:caps w:val="false"/>
      <w:smallCaps w:val="false"/>
      <w:strike w:val="false"/>
      <w:dstrike w:val="false"/>
      <w:vanish w:val="false"/>
      <w:position w:val="0"/>
      <w:sz w:val="18"/>
      <w:sz w:val="18"/>
      <w:vertAlign w:val="baseline"/>
    </w:rPr>
  </w:style>
  <w:style w:type="character" w:styleId="ListLabel23">
    <w:name w:val="ListLabel 23"/>
    <w:qFormat/>
    <w:rPr>
      <w:sz w:val="18"/>
    </w:rPr>
  </w:style>
  <w:style w:type="character" w:styleId="ListLabel24">
    <w:name w:val="ListLabel 24"/>
    <w:qFormat/>
    <w:rPr>
      <w:sz w:val="18"/>
    </w:rPr>
  </w:style>
  <w:style w:type="character" w:styleId="ListLabel25">
    <w:name w:val="ListLabel 25"/>
    <w:qFormat/>
    <w:rPr>
      <w:b/>
      <w:i w:val="false"/>
      <w:sz w:val="2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TextkrperZchn"/>
    <w:rsid w:val="006e540a"/>
    <w:pPr>
      <w:suppressAutoHyphens w:val="true"/>
      <w:spacing w:lineRule="auto" w:line="288" w:before="0" w:after="140"/>
    </w:pPr>
    <w:rPr>
      <w:rFonts w:ascii="Liberation Serif" w:hAnsi="Liberation Serif" w:eastAsia="Noto Sans CJK SC Regular" w:cs="FreeSans"/>
      <w:kern w:val="2"/>
      <w:sz w:val="24"/>
      <w:szCs w:val="24"/>
      <w:lang w:val="de-AT" w:eastAsia="zh-CN" w:bidi="hi-IN"/>
    </w:rPr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zeile">
    <w:name w:val="Header"/>
    <w:basedOn w:val="Normal"/>
    <w:link w:val="KopfzeileZchn"/>
    <w:uiPriority w:val="99"/>
    <w:unhideWhenUsed/>
    <w:rsid w:val="007e3340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7e33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3340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next w:val="Normal"/>
    <w:uiPriority w:val="1"/>
    <w:qFormat/>
    <w:rsid w:val="00564af3"/>
    <w:pPr>
      <w:spacing w:lineRule="auto" w:line="300"/>
    </w:pPr>
    <w:rPr/>
  </w:style>
  <w:style w:type="paragraph" w:styleId="Titel">
    <w:name w:val="Title"/>
    <w:basedOn w:val="Normal"/>
    <w:next w:val="Normal"/>
    <w:link w:val="TitelZchn"/>
    <w:uiPriority w:val="2"/>
    <w:qFormat/>
    <w:rsid w:val="00920a98"/>
    <w:pPr>
      <w:spacing w:before="0" w:after="240"/>
      <w:contextualSpacing/>
    </w:pPr>
    <w:rPr>
      <w:rFonts w:eastAsia="" w:cs="" w:cstheme="majorBidi" w:eastAsiaTheme="majorEastAsia"/>
      <w:b/>
      <w:caps/>
      <w:spacing w:val="5"/>
      <w:kern w:val="2"/>
      <w:sz w:val="28"/>
      <w:szCs w:val="52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b31123"/>
    <w:pPr/>
    <w:rPr>
      <w:b/>
      <w:bCs/>
      <w:i/>
      <w:iCs/>
    </w:rPr>
  </w:style>
  <w:style w:type="paragraph" w:styleId="ListParagraph">
    <w:name w:val="List Paragraph"/>
    <w:basedOn w:val="Normal"/>
    <w:link w:val="ListenabsatzZchn"/>
    <w:uiPriority w:val="34"/>
    <w:qFormat/>
    <w:rsid w:val="00ad4df8"/>
    <w:pPr>
      <w:spacing w:before="0" w:after="0"/>
      <w:ind w:left="720" w:hanging="0"/>
      <w:contextualSpacing/>
    </w:pPr>
    <w:rPr/>
  </w:style>
  <w:style w:type="paragraph" w:styleId="EinzugmitAufzhlungszeichen" w:customStyle="1">
    <w:name w:val="Einzug mit Aufzählungszeichen"/>
    <w:basedOn w:val="ListParagraph"/>
    <w:next w:val="Normal"/>
    <w:link w:val="EinzugmitAufzhlungszeichenZchn"/>
    <w:uiPriority w:val="1"/>
    <w:qFormat/>
    <w:rsid w:val="00ee5627"/>
    <w:pPr>
      <w:spacing w:before="0" w:after="60"/>
      <w:ind w:left="680" w:hanging="340"/>
    </w:pPr>
    <w:rPr/>
  </w:style>
  <w:style w:type="paragraph" w:styleId="EinzugmitNummernfolge" w:customStyle="1">
    <w:name w:val="Einzug mit Nummernfolge"/>
    <w:basedOn w:val="EinzugmitAufzhlungszeichen"/>
    <w:link w:val="EinzugmitNummernfolgeZchn"/>
    <w:uiPriority w:val="2"/>
    <w:qFormat/>
    <w:rsid w:val="00e56586"/>
    <w:pPr/>
    <w:rPr/>
  </w:style>
  <w:style w:type="paragraph" w:styleId="EinzugmitNummernundabc" w:customStyle="1">
    <w:name w:val="Einzug mit Nummern und abc"/>
    <w:basedOn w:val="EinzugmitNummernfolge"/>
    <w:link w:val="EinzugmitNummernundabcZchn"/>
    <w:qFormat/>
    <w:rsid w:val="008b0812"/>
    <w:pPr/>
    <w:rPr/>
  </w:style>
  <w:style w:type="paragraph" w:styleId="Text" w:customStyle="1">
    <w:name w:val="Text"/>
    <w:basedOn w:val="Normal"/>
    <w:qFormat/>
    <w:rsid w:val="00406fc2"/>
    <w:pPr>
      <w:spacing w:lineRule="exact" w:line="280" w:before="0" w:after="120"/>
    </w:pPr>
    <w:rPr>
      <w:rFonts w:eastAsia="Times New Roman" w:cs="Times New Roman"/>
      <w:szCs w:val="24"/>
      <w:lang w:val="de-AT" w:eastAsia="de-DE"/>
    </w:rPr>
  </w:style>
  <w:style w:type="paragraph" w:styleId="Unterzeichner" w:customStyle="1">
    <w:name w:val="Unterzeichner"/>
    <w:basedOn w:val="Text"/>
    <w:qFormat/>
    <w:rsid w:val="00406fc2"/>
    <w:pPr>
      <w:spacing w:lineRule="exact" w:line="240" w:before="0" w:after="0"/>
    </w:pPr>
    <w:rPr>
      <w:sz w:val="16"/>
    </w:rPr>
  </w:style>
  <w:style w:type="paragraph" w:styleId="Absender" w:customStyle="1">
    <w:name w:val="Envelope Return"/>
    <w:link w:val="AbsenderZchn"/>
    <w:uiPriority w:val="1"/>
    <w:qFormat/>
    <w:rsid w:val="00406fc2"/>
    <w:pPr>
      <w:widowControl w:val="false"/>
      <w:spacing w:lineRule="exact" w:line="216"/>
    </w:pPr>
    <w:rPr>
      <w:rFonts w:ascii="Titillium" w:hAnsi="Titillium" w:eastAsia="Times New Roman" w:cs="Titillium"/>
      <w:b/>
      <w:color w:val="auto"/>
      <w:kern w:val="0"/>
      <w:sz w:val="18"/>
      <w:szCs w:val="18"/>
      <w:lang w:val="de-AT" w:eastAsia="de-DE" w:bidi="ar-SA"/>
    </w:rPr>
  </w:style>
  <w:style w:type="paragraph" w:styleId="Closing">
    <w:name w:val="Closing"/>
    <w:basedOn w:val="Normal"/>
    <w:link w:val="GruformelZchn"/>
    <w:uiPriority w:val="99"/>
    <w:unhideWhenUsed/>
    <w:qFormat/>
    <w:rsid w:val="00406fc2"/>
    <w:pPr/>
    <w:rPr>
      <w:rFonts w:eastAsia="Times New Roman" w:cs="Times New Roman"/>
      <w:szCs w:val="24"/>
      <w:lang w:val="de-AT" w:eastAsia="de-DE"/>
    </w:rPr>
  </w:style>
  <w:style w:type="paragraph" w:styleId="NormalWeb">
    <w:name w:val="Normal (Web)"/>
    <w:basedOn w:val="Normal"/>
    <w:uiPriority w:val="99"/>
    <w:semiHidden/>
    <w:unhideWhenUsed/>
    <w:qFormat/>
    <w:rsid w:val="00406fc2"/>
    <w:pPr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6d1fe8"/>
    <w:pPr>
      <w:spacing w:before="0" w:after="0"/>
      <w:ind w:left="680" w:hanging="34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6d1fe8"/>
    <w:pPr>
      <w:spacing w:before="0" w:after="0"/>
      <w:ind w:left="1360" w:hanging="68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6d1fe8"/>
    <w:pPr>
      <w:spacing w:before="0" w:after="0"/>
      <w:ind w:left="1702" w:hanging="851"/>
      <w:contextualSpacing/>
    </w:pPr>
    <w:rPr/>
  </w:style>
  <w:style w:type="paragraph" w:styleId="Default" w:customStyle="1">
    <w:name w:val="Default"/>
    <w:qFormat/>
    <w:rsid w:val="00fa0300"/>
    <w:pPr>
      <w:widowControl/>
      <w:bidi w:val="0"/>
      <w:jc w:val="left"/>
    </w:pPr>
    <w:rPr>
      <w:rFonts w:ascii="Arial" w:hAnsi="Arial" w:cs="Arial" w:eastAsia="Calibri"/>
      <w:color w:val="000000"/>
      <w:kern w:val="0"/>
      <w:sz w:val="24"/>
      <w:szCs w:val="24"/>
      <w:lang w:val="de-A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5A45-742A-422C-9EA0-1BAC944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177</Words>
  <Characters>1292</Characters>
  <CharactersWithSpaces>1466</CharactersWithSpaces>
  <Paragraphs>11</Paragraphs>
  <Company>Kammer für Arbeiter und Angestellte Niederösterreich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2019-10-09T07:07:00Z</dcterms:created>
  <dc:creator>Wipfel, Reinhold</dc:creator>
  <dc:description/>
  <dc:language>de-CH</dc:language>
  <cp:lastModifiedBy>Taibl, Stefan</cp:lastModifiedBy>
  <cp:lastPrinted>2016-01-12T07:27:00Z</cp:lastPrinted>
  <dcterms:modified xsi:type="dcterms:W3CDTF">2019-10-09T07:07:00Z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Kammer für Arbeiter und Angestellte Niederösterreich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