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F51" w:rsidRDefault="00FF0F51" w:rsidP="00FF0F51">
      <w:pPr>
        <w:pStyle w:val="berschrift1"/>
        <w:rPr>
          <w:rFonts w:cs="Arial"/>
        </w:rPr>
      </w:pPr>
      <w:r>
        <w:rPr>
          <w:rFonts w:cs="Arial"/>
        </w:rPr>
        <w:t xml:space="preserve">Antrag Nr. </w:t>
      </w:r>
      <w:r w:rsidR="009D5915">
        <w:rPr>
          <w:rFonts w:cs="Arial"/>
        </w:rPr>
        <w:t>7</w:t>
      </w:r>
    </w:p>
    <w:p w:rsidR="00FF0F51" w:rsidRDefault="00FF0F51" w:rsidP="00FF0F51">
      <w:pPr>
        <w:spacing w:line="280" w:lineRule="exact"/>
        <w:jc w:val="center"/>
        <w:rPr>
          <w:rFonts w:ascii="Arial" w:hAnsi="Arial" w:cs="Arial"/>
          <w:sz w:val="20"/>
        </w:rPr>
      </w:pPr>
    </w:p>
    <w:p w:rsidR="00FF0F51" w:rsidRDefault="00FF0F51" w:rsidP="00FF0F51">
      <w:pPr>
        <w:spacing w:line="280" w:lineRule="exact"/>
        <w:jc w:val="center"/>
        <w:rPr>
          <w:rFonts w:ascii="Arial" w:hAnsi="Arial" w:cs="Arial"/>
          <w:sz w:val="20"/>
        </w:rPr>
      </w:pPr>
      <w:r>
        <w:rPr>
          <w:rFonts w:ascii="Arial" w:hAnsi="Arial" w:cs="Arial"/>
          <w:sz w:val="20"/>
        </w:rPr>
        <w:t xml:space="preserve">der Fraktion sozialdemokratischer </w:t>
      </w:r>
      <w:proofErr w:type="spellStart"/>
      <w:r>
        <w:rPr>
          <w:rFonts w:ascii="Arial" w:hAnsi="Arial" w:cs="Arial"/>
          <w:sz w:val="20"/>
        </w:rPr>
        <w:t>GewerkschafterInnen</w:t>
      </w:r>
      <w:proofErr w:type="spellEnd"/>
    </w:p>
    <w:p w:rsidR="00FF0F51" w:rsidRDefault="00FF0F51" w:rsidP="00FF0F51">
      <w:pPr>
        <w:spacing w:line="280" w:lineRule="exact"/>
        <w:jc w:val="center"/>
        <w:rPr>
          <w:rFonts w:ascii="Arial" w:hAnsi="Arial" w:cs="Arial"/>
          <w:sz w:val="20"/>
        </w:rPr>
      </w:pPr>
      <w:r>
        <w:rPr>
          <w:rFonts w:ascii="Arial" w:hAnsi="Arial" w:cs="Arial"/>
          <w:sz w:val="20"/>
        </w:rPr>
        <w:t xml:space="preserve">an die </w:t>
      </w:r>
      <w:r w:rsidR="00594E17">
        <w:rPr>
          <w:rFonts w:ascii="Arial" w:hAnsi="Arial" w:cs="Arial"/>
          <w:sz w:val="20"/>
        </w:rPr>
        <w:t>173.</w:t>
      </w:r>
      <w:r>
        <w:rPr>
          <w:rFonts w:ascii="Arial" w:hAnsi="Arial" w:cs="Arial"/>
          <w:sz w:val="20"/>
        </w:rPr>
        <w:t xml:space="preserve"> </w:t>
      </w:r>
      <w:r w:rsidR="00011F4D" w:rsidRPr="00011F4D">
        <w:rPr>
          <w:rFonts w:ascii="Arial" w:hAnsi="Arial" w:cs="Arial"/>
          <w:sz w:val="20"/>
        </w:rPr>
        <w:t>Vollversammlung der Kammer für Arbeiter und Angestellte für Wien</w:t>
      </w:r>
    </w:p>
    <w:p w:rsidR="00FF0F51" w:rsidRDefault="00FF0F51" w:rsidP="00FF0F51">
      <w:pPr>
        <w:spacing w:line="280" w:lineRule="exact"/>
        <w:jc w:val="center"/>
        <w:rPr>
          <w:rFonts w:ascii="Arial" w:hAnsi="Arial" w:cs="Arial"/>
          <w:sz w:val="20"/>
        </w:rPr>
      </w:pPr>
      <w:r>
        <w:rPr>
          <w:rFonts w:ascii="Arial" w:hAnsi="Arial" w:cs="Arial"/>
          <w:sz w:val="20"/>
        </w:rPr>
        <w:t xml:space="preserve">am </w:t>
      </w:r>
      <w:r w:rsidR="00594E17">
        <w:rPr>
          <w:rFonts w:ascii="Arial" w:hAnsi="Arial" w:cs="Arial"/>
          <w:sz w:val="20"/>
        </w:rPr>
        <w:t xml:space="preserve">12. November </w:t>
      </w:r>
      <w:r w:rsidR="0071441D">
        <w:rPr>
          <w:rFonts w:ascii="Arial" w:hAnsi="Arial" w:cs="Arial"/>
          <w:sz w:val="20"/>
        </w:rPr>
        <w:t>2019</w:t>
      </w:r>
    </w:p>
    <w:p w:rsidR="00FF0F51" w:rsidRDefault="00FF0F51" w:rsidP="00FF0F51">
      <w:pPr>
        <w:spacing w:line="280" w:lineRule="exact"/>
        <w:jc w:val="center"/>
        <w:rPr>
          <w:rFonts w:ascii="Arial" w:hAnsi="Arial" w:cs="Arial"/>
          <w:sz w:val="20"/>
        </w:rPr>
      </w:pPr>
    </w:p>
    <w:p w:rsidR="0071441D" w:rsidRPr="0071441D" w:rsidRDefault="0071441D" w:rsidP="0071441D">
      <w:pPr>
        <w:pStyle w:val="berschrift1"/>
        <w:rPr>
          <w:rFonts w:cs="Arial"/>
          <w:caps/>
        </w:rPr>
      </w:pPr>
      <w:r w:rsidRPr="0071441D">
        <w:rPr>
          <w:rFonts w:cs="Arial"/>
          <w:caps/>
        </w:rPr>
        <w:t xml:space="preserve">Macht der Internetkonzerne beschränken! </w:t>
      </w:r>
    </w:p>
    <w:p w:rsidR="00FF0F51" w:rsidRDefault="0071441D" w:rsidP="0071441D">
      <w:pPr>
        <w:pStyle w:val="berschrift1"/>
        <w:rPr>
          <w:rFonts w:cs="Arial"/>
          <w:caps/>
        </w:rPr>
      </w:pPr>
      <w:r w:rsidRPr="0071441D">
        <w:rPr>
          <w:rFonts w:cs="Arial"/>
          <w:caps/>
        </w:rPr>
        <w:t>Neue Herausforderungen im Umgang mit Konzernen im 21. J</w:t>
      </w:r>
      <w:r w:rsidR="00184EA1">
        <w:rPr>
          <w:rFonts w:cs="Arial"/>
          <w:caps/>
        </w:rPr>
        <w:t>ahr</w:t>
      </w:r>
      <w:r w:rsidRPr="0071441D">
        <w:rPr>
          <w:rFonts w:cs="Arial"/>
          <w:caps/>
        </w:rPr>
        <w:t>H</w:t>
      </w:r>
      <w:r w:rsidR="00184EA1">
        <w:rPr>
          <w:rFonts w:cs="Arial"/>
          <w:caps/>
        </w:rPr>
        <w:t>undert</w:t>
      </w:r>
    </w:p>
    <w:p w:rsidR="0018667C" w:rsidRPr="00FF0F51" w:rsidRDefault="0018667C" w:rsidP="00FF0F51">
      <w:pPr>
        <w:spacing w:line="280" w:lineRule="exact"/>
        <w:jc w:val="both"/>
        <w:rPr>
          <w:rFonts w:ascii="Arial" w:hAnsi="Arial" w:cs="Arial"/>
          <w:sz w:val="20"/>
          <w:szCs w:val="20"/>
        </w:rPr>
      </w:pPr>
    </w:p>
    <w:p w:rsidR="003F792C" w:rsidRDefault="003F792C" w:rsidP="0071441D">
      <w:pPr>
        <w:spacing w:line="280" w:lineRule="exact"/>
        <w:jc w:val="both"/>
        <w:rPr>
          <w:rFonts w:ascii="Arial" w:hAnsi="Arial" w:cs="Arial"/>
          <w:sz w:val="20"/>
          <w:szCs w:val="20"/>
        </w:rPr>
      </w:pPr>
    </w:p>
    <w:p w:rsidR="0071441D" w:rsidRPr="0071441D" w:rsidRDefault="0071441D" w:rsidP="0071441D">
      <w:pPr>
        <w:spacing w:line="280" w:lineRule="exact"/>
        <w:jc w:val="both"/>
        <w:rPr>
          <w:rFonts w:ascii="Arial" w:hAnsi="Arial" w:cs="Arial"/>
          <w:sz w:val="20"/>
          <w:szCs w:val="20"/>
        </w:rPr>
      </w:pPr>
      <w:r w:rsidRPr="0071441D">
        <w:rPr>
          <w:rFonts w:ascii="Arial" w:hAnsi="Arial" w:cs="Arial"/>
          <w:sz w:val="20"/>
          <w:szCs w:val="20"/>
        </w:rPr>
        <w:t xml:space="preserve">Die fortschreitende Digitalisierung und zunehmende Marktmacht der Internetgiganten stellt die Wettbewerbs- und Steuerpolitik vor neue Herausforderungen. Gemeinsam ist den im Wesentlichen über Plattformen agierenden Internetkonzernen – Google, Facebook, Amazon </w:t>
      </w:r>
      <w:proofErr w:type="spellStart"/>
      <w:r w:rsidRPr="0071441D">
        <w:rPr>
          <w:rFonts w:ascii="Arial" w:hAnsi="Arial" w:cs="Arial"/>
          <w:sz w:val="20"/>
          <w:szCs w:val="20"/>
        </w:rPr>
        <w:t>etc</w:t>
      </w:r>
      <w:proofErr w:type="spellEnd"/>
      <w:r w:rsidRPr="0071441D">
        <w:rPr>
          <w:rFonts w:ascii="Arial" w:hAnsi="Arial" w:cs="Arial"/>
          <w:sz w:val="20"/>
          <w:szCs w:val="20"/>
        </w:rPr>
        <w:t xml:space="preserve"> –, dass sie ihr Geld überwiegend mit der Verwertung personenbezogener Benutzerdaten verdienen, exzessive Steuervermeidung betreiben und durch ihre enorme Finanzkraft laufend ihre Marktmacht auf benachbarte Geschäftsfelder ausdehnen. </w:t>
      </w:r>
    </w:p>
    <w:p w:rsidR="0071441D" w:rsidRPr="0071441D" w:rsidRDefault="0071441D" w:rsidP="0071441D">
      <w:pPr>
        <w:spacing w:line="280" w:lineRule="exact"/>
        <w:jc w:val="both"/>
        <w:rPr>
          <w:rFonts w:ascii="Arial" w:hAnsi="Arial" w:cs="Arial"/>
          <w:sz w:val="20"/>
          <w:szCs w:val="20"/>
        </w:rPr>
      </w:pPr>
    </w:p>
    <w:p w:rsidR="0071441D" w:rsidRPr="0071441D" w:rsidRDefault="0071441D" w:rsidP="0071441D">
      <w:pPr>
        <w:spacing w:line="280" w:lineRule="exact"/>
        <w:jc w:val="both"/>
        <w:rPr>
          <w:rFonts w:ascii="Arial" w:hAnsi="Arial" w:cs="Arial"/>
          <w:sz w:val="20"/>
          <w:szCs w:val="20"/>
        </w:rPr>
      </w:pPr>
      <w:r w:rsidRPr="0071441D">
        <w:rPr>
          <w:rFonts w:ascii="Arial" w:hAnsi="Arial" w:cs="Arial"/>
          <w:sz w:val="20"/>
          <w:szCs w:val="20"/>
        </w:rPr>
        <w:t xml:space="preserve">Darüber hinaus ist nationale und europäische Wettbewerbspolitik aber auch gefordert, Antworten auf die zunehmende Globalisierung der Märkte, neue starke Mitbewerber insbesondere aus dem asiatischen Raum sowie zunehmend staatlicher Interventionen aus den USA und China zu finden. Die geltenden Bestimmungen der europäischen Fusionskontrolle aus dem Jahr 1989 sind wenig flexibel und lassen kaum Spielraum für industriepolitische Überlegungen zu. </w:t>
      </w:r>
    </w:p>
    <w:p w:rsidR="0071441D" w:rsidRPr="0071441D" w:rsidRDefault="0071441D" w:rsidP="0071441D">
      <w:pPr>
        <w:spacing w:line="280" w:lineRule="exact"/>
        <w:jc w:val="both"/>
        <w:rPr>
          <w:rFonts w:ascii="Arial" w:hAnsi="Arial" w:cs="Arial"/>
          <w:sz w:val="20"/>
          <w:szCs w:val="20"/>
        </w:rPr>
      </w:pPr>
    </w:p>
    <w:p w:rsidR="0071441D" w:rsidRPr="0071441D" w:rsidRDefault="0071441D" w:rsidP="0071441D">
      <w:pPr>
        <w:spacing w:line="280" w:lineRule="exact"/>
        <w:jc w:val="both"/>
        <w:rPr>
          <w:rFonts w:ascii="Arial" w:hAnsi="Arial" w:cs="Arial"/>
          <w:sz w:val="20"/>
          <w:szCs w:val="20"/>
        </w:rPr>
      </w:pPr>
      <w:r w:rsidRPr="0071441D">
        <w:rPr>
          <w:rFonts w:ascii="Arial" w:hAnsi="Arial" w:cs="Arial"/>
          <w:sz w:val="20"/>
          <w:szCs w:val="20"/>
        </w:rPr>
        <w:t xml:space="preserve">Vor diesem Hintergrund werden die künftige Bundesregierung und die neue EU-Kommission aufgefordert, die </w:t>
      </w:r>
      <w:proofErr w:type="spellStart"/>
      <w:r w:rsidRPr="0071441D">
        <w:rPr>
          <w:rFonts w:ascii="Arial" w:hAnsi="Arial" w:cs="Arial"/>
          <w:sz w:val="20"/>
          <w:szCs w:val="20"/>
        </w:rPr>
        <w:t>wettbewerb</w:t>
      </w:r>
      <w:proofErr w:type="spellEnd"/>
      <w:r w:rsidRPr="0071441D">
        <w:rPr>
          <w:rFonts w:ascii="Arial" w:hAnsi="Arial" w:cs="Arial"/>
          <w:sz w:val="20"/>
          <w:szCs w:val="20"/>
        </w:rPr>
        <w:t>- und steuerlichen Rahmenbedingungen an die aktuellen und künftigen Entwicklungen anzupassen und sicherzustellen, dass Wettbewerb nicht auf Kosten der Beschäftigten ausgetragen wird (</w:t>
      </w:r>
      <w:proofErr w:type="spellStart"/>
      <w:r w:rsidRPr="0071441D">
        <w:rPr>
          <w:rFonts w:ascii="Arial" w:hAnsi="Arial" w:cs="Arial"/>
          <w:sz w:val="20"/>
          <w:szCs w:val="20"/>
        </w:rPr>
        <w:t>zB</w:t>
      </w:r>
      <w:proofErr w:type="spellEnd"/>
      <w:r w:rsidRPr="0071441D">
        <w:rPr>
          <w:rFonts w:ascii="Arial" w:hAnsi="Arial" w:cs="Arial"/>
          <w:sz w:val="20"/>
          <w:szCs w:val="20"/>
        </w:rPr>
        <w:t xml:space="preserve"> Dumping-Löhne). Es müssen darüber hinaus geeignete Regulierungsmechanismen entwickelt werden, um die Mark</w:t>
      </w:r>
      <w:r w:rsidR="00594E17">
        <w:rPr>
          <w:rFonts w:ascii="Arial" w:hAnsi="Arial" w:cs="Arial"/>
          <w:sz w:val="20"/>
          <w:szCs w:val="20"/>
        </w:rPr>
        <w:t>t</w:t>
      </w:r>
      <w:r w:rsidRPr="0071441D">
        <w:rPr>
          <w:rFonts w:ascii="Arial" w:hAnsi="Arial" w:cs="Arial"/>
          <w:sz w:val="20"/>
          <w:szCs w:val="20"/>
        </w:rPr>
        <w:t>macht der Internetgiganten und von weiteren dom</w:t>
      </w:r>
      <w:r w:rsidR="00594E17">
        <w:rPr>
          <w:rFonts w:ascii="Arial" w:hAnsi="Arial" w:cs="Arial"/>
          <w:sz w:val="20"/>
          <w:szCs w:val="20"/>
        </w:rPr>
        <w:t>inanten Plattformunternehmen (</w:t>
      </w:r>
      <w:proofErr w:type="spellStart"/>
      <w:r w:rsidR="00594E17">
        <w:rPr>
          <w:rFonts w:ascii="Arial" w:hAnsi="Arial" w:cs="Arial"/>
          <w:sz w:val="20"/>
          <w:szCs w:val="20"/>
        </w:rPr>
        <w:t>z</w:t>
      </w:r>
      <w:r w:rsidRPr="0071441D">
        <w:rPr>
          <w:rFonts w:ascii="Arial" w:hAnsi="Arial" w:cs="Arial"/>
          <w:sz w:val="20"/>
          <w:szCs w:val="20"/>
        </w:rPr>
        <w:t>B</w:t>
      </w:r>
      <w:proofErr w:type="spellEnd"/>
      <w:r w:rsidRPr="0071441D">
        <w:rPr>
          <w:rFonts w:ascii="Arial" w:hAnsi="Arial" w:cs="Arial"/>
          <w:sz w:val="20"/>
          <w:szCs w:val="20"/>
        </w:rPr>
        <w:t xml:space="preserve"> UBER, </w:t>
      </w:r>
      <w:proofErr w:type="spellStart"/>
      <w:r w:rsidRPr="0071441D">
        <w:rPr>
          <w:rFonts w:ascii="Arial" w:hAnsi="Arial" w:cs="Arial"/>
          <w:sz w:val="20"/>
          <w:szCs w:val="20"/>
        </w:rPr>
        <w:t>airbnb</w:t>
      </w:r>
      <w:proofErr w:type="spellEnd"/>
      <w:r w:rsidRPr="0071441D">
        <w:rPr>
          <w:rFonts w:ascii="Arial" w:hAnsi="Arial" w:cs="Arial"/>
          <w:sz w:val="20"/>
          <w:szCs w:val="20"/>
        </w:rPr>
        <w:t>, booking.c</w:t>
      </w:r>
      <w:r w:rsidR="00594E17">
        <w:rPr>
          <w:rFonts w:ascii="Arial" w:hAnsi="Arial" w:cs="Arial"/>
          <w:sz w:val="20"/>
          <w:szCs w:val="20"/>
        </w:rPr>
        <w:t xml:space="preserve">om </w:t>
      </w:r>
      <w:proofErr w:type="spellStart"/>
      <w:r w:rsidR="00594E17">
        <w:rPr>
          <w:rFonts w:ascii="Arial" w:hAnsi="Arial" w:cs="Arial"/>
          <w:sz w:val="20"/>
          <w:szCs w:val="20"/>
        </w:rPr>
        <w:t>etc</w:t>
      </w:r>
      <w:proofErr w:type="spellEnd"/>
      <w:r w:rsidRPr="0071441D">
        <w:rPr>
          <w:rFonts w:ascii="Arial" w:hAnsi="Arial" w:cs="Arial"/>
          <w:sz w:val="20"/>
          <w:szCs w:val="20"/>
        </w:rPr>
        <w:t>) zu begrenzen.</w:t>
      </w:r>
    </w:p>
    <w:p w:rsidR="0071441D" w:rsidRPr="0071441D" w:rsidRDefault="0071441D" w:rsidP="0071441D">
      <w:pPr>
        <w:spacing w:line="280" w:lineRule="exact"/>
        <w:jc w:val="both"/>
        <w:rPr>
          <w:rFonts w:ascii="Arial" w:hAnsi="Arial" w:cs="Arial"/>
          <w:sz w:val="20"/>
          <w:szCs w:val="20"/>
        </w:rPr>
      </w:pPr>
    </w:p>
    <w:p w:rsidR="0071441D" w:rsidRPr="0071441D" w:rsidRDefault="0071441D" w:rsidP="0071441D">
      <w:pPr>
        <w:spacing w:line="280" w:lineRule="exact"/>
        <w:jc w:val="both"/>
        <w:rPr>
          <w:rFonts w:ascii="Arial" w:hAnsi="Arial" w:cs="Arial"/>
          <w:sz w:val="20"/>
          <w:szCs w:val="20"/>
        </w:rPr>
      </w:pPr>
      <w:r w:rsidRPr="0071441D">
        <w:rPr>
          <w:rFonts w:ascii="Arial" w:hAnsi="Arial" w:cs="Arial"/>
          <w:sz w:val="20"/>
          <w:szCs w:val="20"/>
        </w:rPr>
        <w:t xml:space="preserve">Ein großer Handlungsbedarf besteht auch hinsichtlich der </w:t>
      </w:r>
      <w:proofErr w:type="spellStart"/>
      <w:r w:rsidRPr="0071441D">
        <w:rPr>
          <w:rFonts w:ascii="Arial" w:hAnsi="Arial" w:cs="Arial"/>
          <w:sz w:val="20"/>
          <w:szCs w:val="20"/>
        </w:rPr>
        <w:t>Lobbyingaktivitäten</w:t>
      </w:r>
      <w:proofErr w:type="spellEnd"/>
      <w:r w:rsidRPr="0071441D">
        <w:rPr>
          <w:rFonts w:ascii="Arial" w:hAnsi="Arial" w:cs="Arial"/>
          <w:sz w:val="20"/>
          <w:szCs w:val="20"/>
        </w:rPr>
        <w:t xml:space="preserve"> der großen Internetkonzerne auf Brüsseler Ebene. So werden dreiviertel der Termine mit der höchsten EU-Kommissionsebene von Konzernvertretern wahrgenommen, wobei die Internetkonzerne hierbei besonders herausragen, wie auch eine Studie der AK Wien aufzeigt („Wie </w:t>
      </w:r>
      <w:proofErr w:type="spellStart"/>
      <w:r w:rsidRPr="0071441D">
        <w:rPr>
          <w:rFonts w:ascii="Arial" w:hAnsi="Arial" w:cs="Arial"/>
          <w:sz w:val="20"/>
          <w:szCs w:val="20"/>
        </w:rPr>
        <w:t>LobbyistInnen</w:t>
      </w:r>
      <w:proofErr w:type="spellEnd"/>
      <w:r w:rsidRPr="0071441D">
        <w:rPr>
          <w:rFonts w:ascii="Arial" w:hAnsi="Arial" w:cs="Arial"/>
          <w:sz w:val="20"/>
          <w:szCs w:val="20"/>
        </w:rPr>
        <w:t xml:space="preserve"> aus der Gig-Economy öffentliche Interessen untergraben“). Die künftige EU-Kommission wird daher auch daran gemessen werden, inwieweit sie Maßnahmen gegen die massive Einflussnahme der Konzerne setzt.</w:t>
      </w:r>
    </w:p>
    <w:p w:rsidR="0071441D" w:rsidRDefault="0071441D" w:rsidP="0071441D">
      <w:pPr>
        <w:spacing w:line="280" w:lineRule="exact"/>
        <w:jc w:val="both"/>
        <w:rPr>
          <w:rFonts w:ascii="Arial" w:hAnsi="Arial" w:cs="Arial"/>
          <w:sz w:val="20"/>
          <w:szCs w:val="20"/>
        </w:rPr>
      </w:pPr>
    </w:p>
    <w:p w:rsidR="0071441D" w:rsidRPr="0071441D" w:rsidRDefault="0071441D" w:rsidP="0071441D">
      <w:pPr>
        <w:spacing w:line="280" w:lineRule="exact"/>
        <w:jc w:val="both"/>
        <w:rPr>
          <w:rFonts w:ascii="Arial" w:hAnsi="Arial" w:cs="Arial"/>
          <w:sz w:val="20"/>
          <w:szCs w:val="20"/>
        </w:rPr>
      </w:pPr>
      <w:r w:rsidRPr="0071441D">
        <w:rPr>
          <w:rFonts w:ascii="Arial" w:hAnsi="Arial" w:cs="Arial"/>
          <w:sz w:val="20"/>
          <w:szCs w:val="20"/>
        </w:rPr>
        <w:t>Die Vollversammlung der AK Wien fordert daher:</w:t>
      </w:r>
    </w:p>
    <w:p w:rsidR="0071441D" w:rsidRPr="0071441D" w:rsidRDefault="0071441D" w:rsidP="0071441D">
      <w:pPr>
        <w:spacing w:line="280" w:lineRule="exact"/>
        <w:jc w:val="both"/>
        <w:rPr>
          <w:rFonts w:ascii="Arial" w:hAnsi="Arial" w:cs="Arial"/>
          <w:sz w:val="20"/>
          <w:szCs w:val="20"/>
        </w:rPr>
      </w:pPr>
    </w:p>
    <w:p w:rsidR="0071441D" w:rsidRPr="0071441D" w:rsidRDefault="0071441D" w:rsidP="0071441D">
      <w:pPr>
        <w:spacing w:line="280" w:lineRule="exact"/>
        <w:jc w:val="both"/>
        <w:rPr>
          <w:rFonts w:ascii="Arial" w:hAnsi="Arial" w:cs="Arial"/>
          <w:sz w:val="20"/>
          <w:szCs w:val="20"/>
        </w:rPr>
      </w:pPr>
      <w:r w:rsidRPr="0071441D">
        <w:rPr>
          <w:rFonts w:ascii="Arial" w:hAnsi="Arial" w:cs="Arial"/>
          <w:sz w:val="20"/>
          <w:szCs w:val="20"/>
        </w:rPr>
        <w:t>Macht der Internetkonzerne beschränken</w:t>
      </w:r>
    </w:p>
    <w:p w:rsidR="0071441D" w:rsidRPr="0071441D" w:rsidRDefault="0071441D" w:rsidP="0071441D">
      <w:pPr>
        <w:spacing w:line="280" w:lineRule="exact"/>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Berücksichtigung von Datenkonzentration in der Zusammenschlusskontrolle</w:t>
      </w:r>
      <w:r w:rsidR="00594E17">
        <w:rPr>
          <w:rFonts w:ascii="Arial" w:hAnsi="Arial" w:cs="Arial"/>
          <w:sz w:val="20"/>
          <w:szCs w:val="20"/>
        </w:rPr>
        <w:t>.</w:t>
      </w:r>
    </w:p>
    <w:p w:rsidR="0071441D" w:rsidRPr="0071441D" w:rsidRDefault="0071441D" w:rsidP="0071441D">
      <w:pPr>
        <w:spacing w:line="280" w:lineRule="exact"/>
        <w:ind w:left="709" w:hanging="709"/>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 xml:space="preserve">Einführung eines Transaktionsschwellenwertes um sicherzustellen, dass auch Aufkäufe von innovativen (kleineren) Unternehmen der EU-Fusionskontrolle unterliegen. </w:t>
      </w:r>
    </w:p>
    <w:p w:rsidR="0071441D" w:rsidRPr="0071441D" w:rsidRDefault="0071441D" w:rsidP="00AB5127">
      <w:pPr>
        <w:spacing w:line="280" w:lineRule="exact"/>
        <w:ind w:left="709" w:hanging="709"/>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Erfahrungen haben gezeigt, dass Untersuchungen der Wettbewerbsbehörden lange Zeit in Anspruch nehmen. Es müssen Maßnahmen entwickelt werden, um die Wettbewerbsverfahren zu beschleunigen</w:t>
      </w:r>
      <w:r w:rsidR="00594E17">
        <w:rPr>
          <w:rFonts w:ascii="Arial" w:hAnsi="Arial" w:cs="Arial"/>
          <w:sz w:val="20"/>
          <w:szCs w:val="20"/>
        </w:rPr>
        <w:t>.</w:t>
      </w:r>
    </w:p>
    <w:p w:rsidR="0071441D" w:rsidRPr="0071441D" w:rsidRDefault="0071441D" w:rsidP="0071441D">
      <w:pPr>
        <w:spacing w:line="280" w:lineRule="exact"/>
        <w:ind w:left="709" w:hanging="709"/>
        <w:jc w:val="both"/>
        <w:rPr>
          <w:rFonts w:ascii="Arial" w:hAnsi="Arial" w:cs="Arial"/>
          <w:sz w:val="20"/>
          <w:szCs w:val="20"/>
        </w:rPr>
      </w:pPr>
      <w:r w:rsidRPr="0071441D">
        <w:rPr>
          <w:rFonts w:ascii="Arial" w:hAnsi="Arial" w:cs="Arial"/>
          <w:sz w:val="20"/>
          <w:szCs w:val="20"/>
        </w:rPr>
        <w:lastRenderedPageBreak/>
        <w:t>•</w:t>
      </w:r>
      <w:r w:rsidRPr="0071441D">
        <w:rPr>
          <w:rFonts w:ascii="Arial" w:hAnsi="Arial" w:cs="Arial"/>
          <w:sz w:val="20"/>
          <w:szCs w:val="20"/>
        </w:rPr>
        <w:tab/>
        <w:t xml:space="preserve">Die Definition der Marktmacht von Internetkonzernen und die Methoden der Marktabgrenzung müssen an die faktischen Gegebenheiten (Netzwerkeffekte, Datenmacht) angepasst werden. Die Missbrauchskontrolle bei marktbeherrschenden Konzernen muss auf alle Geschäftsfelder ausgeweitet werden, auch wenn sie auf einem konkreten Markt noch nicht marktbeherrschen sind. </w:t>
      </w:r>
    </w:p>
    <w:p w:rsidR="0071441D" w:rsidRPr="0071441D" w:rsidRDefault="0071441D" w:rsidP="0071441D">
      <w:pPr>
        <w:spacing w:line="280" w:lineRule="exact"/>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Ein diskriminierungsfreier Zugang zu Internetplattformen ist sicherzustellen</w:t>
      </w:r>
      <w:r w:rsidR="00594E17">
        <w:rPr>
          <w:rFonts w:ascii="Arial" w:hAnsi="Arial" w:cs="Arial"/>
          <w:sz w:val="20"/>
          <w:szCs w:val="20"/>
        </w:rPr>
        <w:t>.</w:t>
      </w:r>
    </w:p>
    <w:p w:rsidR="0071441D" w:rsidRPr="0071441D" w:rsidRDefault="0071441D" w:rsidP="0071441D">
      <w:pPr>
        <w:spacing w:line="280" w:lineRule="exact"/>
        <w:ind w:left="709" w:hanging="709"/>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 xml:space="preserve">Geeignete Regulierungsmechanismen für Internetplattformen müssen entwickelt werden. Dazu zählen: </w:t>
      </w:r>
      <w:proofErr w:type="spellStart"/>
      <w:r w:rsidRPr="0071441D">
        <w:rPr>
          <w:rFonts w:ascii="Arial" w:hAnsi="Arial" w:cs="Arial"/>
          <w:sz w:val="20"/>
          <w:szCs w:val="20"/>
        </w:rPr>
        <w:t>Sektorspezifische</w:t>
      </w:r>
      <w:proofErr w:type="spellEnd"/>
      <w:r w:rsidRPr="0071441D">
        <w:rPr>
          <w:rFonts w:ascii="Arial" w:hAnsi="Arial" w:cs="Arial"/>
          <w:sz w:val="20"/>
          <w:szCs w:val="20"/>
        </w:rPr>
        <w:t xml:space="preserve"> Regulierung, Schlichtungsstellen, Maßnahmen zum </w:t>
      </w:r>
      <w:proofErr w:type="spellStart"/>
      <w:r w:rsidRPr="0071441D">
        <w:rPr>
          <w:rFonts w:ascii="Arial" w:hAnsi="Arial" w:cs="Arial"/>
          <w:sz w:val="20"/>
          <w:szCs w:val="20"/>
        </w:rPr>
        <w:t>Unbundling</w:t>
      </w:r>
      <w:proofErr w:type="spellEnd"/>
      <w:r w:rsidRPr="0071441D">
        <w:rPr>
          <w:rFonts w:ascii="Arial" w:hAnsi="Arial" w:cs="Arial"/>
          <w:sz w:val="20"/>
          <w:szCs w:val="20"/>
        </w:rPr>
        <w:t xml:space="preserve"> (Trennung der Bereitstellung von Infrastruktur und eigenen Geschäftsaktivitäten)</w:t>
      </w:r>
    </w:p>
    <w:p w:rsidR="0071441D" w:rsidRPr="0071441D" w:rsidRDefault="0071441D" w:rsidP="0071441D">
      <w:pPr>
        <w:spacing w:line="280" w:lineRule="exact"/>
        <w:ind w:left="709" w:hanging="709"/>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 xml:space="preserve">Die künftige EU-Kommission hat den </w:t>
      </w:r>
      <w:proofErr w:type="spellStart"/>
      <w:r w:rsidRPr="0071441D">
        <w:rPr>
          <w:rFonts w:ascii="Arial" w:hAnsi="Arial" w:cs="Arial"/>
          <w:sz w:val="20"/>
          <w:szCs w:val="20"/>
        </w:rPr>
        <w:t>Lobbyingaktivitäten</w:t>
      </w:r>
      <w:proofErr w:type="spellEnd"/>
      <w:r w:rsidRPr="0071441D">
        <w:rPr>
          <w:rFonts w:ascii="Arial" w:hAnsi="Arial" w:cs="Arial"/>
          <w:sz w:val="20"/>
          <w:szCs w:val="20"/>
        </w:rPr>
        <w:t xml:space="preserve"> der Internetkonzerne Grenzen zu setzen und bei ihren Vorhaben dem öffentlichen Interesse Vorrang einzuräumen</w:t>
      </w:r>
      <w:r w:rsidR="00594E17">
        <w:rPr>
          <w:rFonts w:ascii="Arial" w:hAnsi="Arial" w:cs="Arial"/>
          <w:sz w:val="20"/>
          <w:szCs w:val="20"/>
        </w:rPr>
        <w:t>.</w:t>
      </w:r>
    </w:p>
    <w:p w:rsidR="0071441D" w:rsidRPr="0071441D" w:rsidRDefault="0071441D" w:rsidP="0071441D">
      <w:pPr>
        <w:spacing w:line="280" w:lineRule="exact"/>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 xml:space="preserve">Die Transparenzbestimmungen in Bezug auf die </w:t>
      </w:r>
      <w:proofErr w:type="spellStart"/>
      <w:r w:rsidRPr="0071441D">
        <w:rPr>
          <w:rFonts w:ascii="Arial" w:hAnsi="Arial" w:cs="Arial"/>
          <w:sz w:val="20"/>
          <w:szCs w:val="20"/>
        </w:rPr>
        <w:t>Lobbyingaktivitäten</w:t>
      </w:r>
      <w:proofErr w:type="spellEnd"/>
      <w:r w:rsidRPr="0071441D">
        <w:rPr>
          <w:rFonts w:ascii="Arial" w:hAnsi="Arial" w:cs="Arial"/>
          <w:sz w:val="20"/>
          <w:szCs w:val="20"/>
        </w:rPr>
        <w:t xml:space="preserve"> sind zu verbessern</w:t>
      </w:r>
      <w:r w:rsidR="00594E17">
        <w:rPr>
          <w:rFonts w:ascii="Arial" w:hAnsi="Arial" w:cs="Arial"/>
          <w:sz w:val="20"/>
          <w:szCs w:val="20"/>
        </w:rPr>
        <w:t>.</w:t>
      </w:r>
    </w:p>
    <w:p w:rsidR="0071441D" w:rsidRPr="0071441D" w:rsidRDefault="0071441D" w:rsidP="0071441D">
      <w:pPr>
        <w:spacing w:line="280" w:lineRule="exact"/>
        <w:ind w:left="709" w:hanging="709"/>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 xml:space="preserve">Für digitale Plattformen müssen dieselben </w:t>
      </w:r>
      <w:proofErr w:type="spellStart"/>
      <w:r w:rsidRPr="0071441D">
        <w:rPr>
          <w:rFonts w:ascii="Arial" w:hAnsi="Arial" w:cs="Arial"/>
          <w:sz w:val="20"/>
          <w:szCs w:val="20"/>
        </w:rPr>
        <w:t>ArbeitnehmerInnenrechte</w:t>
      </w:r>
      <w:proofErr w:type="spellEnd"/>
      <w:r w:rsidRPr="0071441D">
        <w:rPr>
          <w:rFonts w:ascii="Arial" w:hAnsi="Arial" w:cs="Arial"/>
          <w:sz w:val="20"/>
          <w:szCs w:val="20"/>
        </w:rPr>
        <w:t xml:space="preserve"> gelten wie für die Realwirtschaft</w:t>
      </w:r>
      <w:r w:rsidR="00594E17">
        <w:rPr>
          <w:rFonts w:ascii="Arial" w:hAnsi="Arial" w:cs="Arial"/>
          <w:sz w:val="20"/>
          <w:szCs w:val="20"/>
        </w:rPr>
        <w:t>.</w:t>
      </w:r>
      <w:r w:rsidRPr="0071441D">
        <w:rPr>
          <w:rFonts w:ascii="Arial" w:hAnsi="Arial" w:cs="Arial"/>
          <w:sz w:val="20"/>
          <w:szCs w:val="20"/>
        </w:rPr>
        <w:t xml:space="preserve"> </w:t>
      </w:r>
    </w:p>
    <w:p w:rsidR="0071441D" w:rsidRPr="0071441D" w:rsidRDefault="0071441D" w:rsidP="001C681D">
      <w:pPr>
        <w:jc w:val="both"/>
        <w:rPr>
          <w:rFonts w:ascii="Arial" w:hAnsi="Arial" w:cs="Arial"/>
          <w:sz w:val="20"/>
          <w:szCs w:val="20"/>
        </w:rPr>
      </w:pPr>
    </w:p>
    <w:p w:rsidR="0071441D" w:rsidRPr="0071441D" w:rsidRDefault="0071441D" w:rsidP="0071441D">
      <w:pPr>
        <w:spacing w:line="280" w:lineRule="exact"/>
        <w:jc w:val="both"/>
        <w:rPr>
          <w:rFonts w:ascii="Arial" w:hAnsi="Arial" w:cs="Arial"/>
          <w:sz w:val="20"/>
          <w:szCs w:val="20"/>
        </w:rPr>
      </w:pPr>
      <w:r w:rsidRPr="0071441D">
        <w:rPr>
          <w:rFonts w:ascii="Arial" w:hAnsi="Arial" w:cs="Arial"/>
          <w:sz w:val="20"/>
          <w:szCs w:val="20"/>
        </w:rPr>
        <w:t>Faire Besteuerung von digitalen Unternehmen</w:t>
      </w:r>
    </w:p>
    <w:p w:rsidR="0071441D" w:rsidRPr="0071441D" w:rsidRDefault="0071441D" w:rsidP="0071441D">
      <w:pPr>
        <w:spacing w:line="280" w:lineRule="exact"/>
        <w:ind w:left="709" w:hanging="709"/>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 xml:space="preserve">Die grundlegende Reform der internationalen Unternehmensbesteuerung dahingehend, dass eine Konzernbesteuerung (Gemeinsame Konsolidierte Körperschaftsteuerbemessungsgrundlage) eingeführt wird und die Gewinne entsprechend der Wertschöpfung zwischen den betroffenen Staaten aufgeteilt werden. In diesem Zusammenhang muss auch der </w:t>
      </w:r>
      <w:proofErr w:type="spellStart"/>
      <w:r w:rsidRPr="0071441D">
        <w:rPr>
          <w:rFonts w:ascii="Arial" w:hAnsi="Arial" w:cs="Arial"/>
          <w:sz w:val="20"/>
          <w:szCs w:val="20"/>
        </w:rPr>
        <w:t>Betriebsstättenbegriff</w:t>
      </w:r>
      <w:proofErr w:type="spellEnd"/>
      <w:r w:rsidRPr="0071441D">
        <w:rPr>
          <w:rFonts w:ascii="Arial" w:hAnsi="Arial" w:cs="Arial"/>
          <w:sz w:val="20"/>
          <w:szCs w:val="20"/>
        </w:rPr>
        <w:t xml:space="preserve"> reformiert werden („digitale Betriebsstätte“)</w:t>
      </w:r>
      <w:r w:rsidR="00594E17">
        <w:rPr>
          <w:rFonts w:ascii="Arial" w:hAnsi="Arial" w:cs="Arial"/>
          <w:sz w:val="20"/>
          <w:szCs w:val="20"/>
        </w:rPr>
        <w:t>.</w:t>
      </w:r>
    </w:p>
    <w:p w:rsidR="0071441D" w:rsidRPr="0071441D" w:rsidRDefault="0071441D" w:rsidP="0071441D">
      <w:pPr>
        <w:spacing w:line="280" w:lineRule="exact"/>
        <w:ind w:left="709" w:hanging="709"/>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 xml:space="preserve">Die Einführung eines globalen oder zumindest EU-weiten Mindeststeuersatzes </w:t>
      </w:r>
      <w:r w:rsidR="001C681D" w:rsidRPr="001C681D">
        <w:rPr>
          <w:rFonts w:ascii="Arial" w:hAnsi="Arial" w:cs="Arial"/>
          <w:bCs/>
          <w:i/>
          <w:sz w:val="20"/>
          <w:szCs w:val="20"/>
          <w:u w:val="single"/>
        </w:rPr>
        <w:t>der Körperschaftsteuer</w:t>
      </w:r>
      <w:r w:rsidR="001C681D" w:rsidRPr="001C681D">
        <w:rPr>
          <w:rFonts w:ascii="Arial" w:hAnsi="Arial" w:cs="Arial"/>
          <w:sz w:val="20"/>
          <w:szCs w:val="20"/>
        </w:rPr>
        <w:t xml:space="preserve"> </w:t>
      </w:r>
      <w:r w:rsidRPr="001C681D">
        <w:rPr>
          <w:rFonts w:ascii="Arial" w:hAnsi="Arial" w:cs="Arial"/>
          <w:sz w:val="20"/>
          <w:szCs w:val="20"/>
        </w:rPr>
        <w:t>von</w:t>
      </w:r>
      <w:r w:rsidRPr="0071441D">
        <w:rPr>
          <w:rFonts w:ascii="Arial" w:hAnsi="Arial" w:cs="Arial"/>
          <w:sz w:val="20"/>
          <w:szCs w:val="20"/>
        </w:rPr>
        <w:t xml:space="preserve"> zumindest 25%</w:t>
      </w:r>
      <w:r w:rsidR="00594E17">
        <w:rPr>
          <w:rFonts w:ascii="Arial" w:hAnsi="Arial" w:cs="Arial"/>
          <w:sz w:val="20"/>
          <w:szCs w:val="20"/>
        </w:rPr>
        <w:t>.</w:t>
      </w:r>
    </w:p>
    <w:p w:rsidR="0071441D" w:rsidRPr="0071441D" w:rsidRDefault="0071441D" w:rsidP="0071441D">
      <w:pPr>
        <w:spacing w:line="280" w:lineRule="exact"/>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Die Abschaffung des Einstimmigkeitsprinzips in Steuerangelegenheiten auf EU-Ebene</w:t>
      </w:r>
      <w:r w:rsidR="00594E17">
        <w:rPr>
          <w:rFonts w:ascii="Arial" w:hAnsi="Arial" w:cs="Arial"/>
          <w:sz w:val="20"/>
          <w:szCs w:val="20"/>
        </w:rPr>
        <w:t>.</w:t>
      </w:r>
    </w:p>
    <w:p w:rsidR="0071441D" w:rsidRPr="0071441D" w:rsidRDefault="0071441D" w:rsidP="0071441D">
      <w:pPr>
        <w:spacing w:line="280" w:lineRule="exact"/>
        <w:ind w:left="709" w:hanging="709"/>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Digitalisierung der Finanzverwaltung: Ausreichende quantitative und qualitative Ausstattung der Finanzverwaltung zur Analyse großer Datenmengen im Zusammenhang mit ausgebauten Meldeverpflichtungen (</w:t>
      </w:r>
      <w:proofErr w:type="spellStart"/>
      <w:r w:rsidRPr="0071441D">
        <w:rPr>
          <w:rFonts w:ascii="Arial" w:hAnsi="Arial" w:cs="Arial"/>
          <w:sz w:val="20"/>
          <w:szCs w:val="20"/>
        </w:rPr>
        <w:t>ua</w:t>
      </w:r>
      <w:proofErr w:type="spellEnd"/>
      <w:r w:rsidRPr="0071441D">
        <w:rPr>
          <w:rFonts w:ascii="Arial" w:hAnsi="Arial" w:cs="Arial"/>
          <w:sz w:val="20"/>
          <w:szCs w:val="20"/>
        </w:rPr>
        <w:t xml:space="preserve"> automatischer Informationsaustausch, </w:t>
      </w:r>
      <w:proofErr w:type="spellStart"/>
      <w:r w:rsidRPr="0071441D">
        <w:rPr>
          <w:rFonts w:ascii="Arial" w:hAnsi="Arial" w:cs="Arial"/>
          <w:sz w:val="20"/>
          <w:szCs w:val="20"/>
        </w:rPr>
        <w:t>Ruling</w:t>
      </w:r>
      <w:proofErr w:type="spellEnd"/>
      <w:r w:rsidRPr="0071441D">
        <w:rPr>
          <w:rFonts w:ascii="Arial" w:hAnsi="Arial" w:cs="Arial"/>
          <w:sz w:val="20"/>
          <w:szCs w:val="20"/>
        </w:rPr>
        <w:t xml:space="preserve">-Austausch </w:t>
      </w:r>
      <w:proofErr w:type="spellStart"/>
      <w:r w:rsidRPr="0071441D">
        <w:rPr>
          <w:rFonts w:ascii="Arial" w:hAnsi="Arial" w:cs="Arial"/>
          <w:sz w:val="20"/>
          <w:szCs w:val="20"/>
        </w:rPr>
        <w:t>usw</w:t>
      </w:r>
      <w:proofErr w:type="spellEnd"/>
      <w:r w:rsidRPr="0071441D">
        <w:rPr>
          <w:rFonts w:ascii="Arial" w:hAnsi="Arial" w:cs="Arial"/>
          <w:sz w:val="20"/>
          <w:szCs w:val="20"/>
        </w:rPr>
        <w:t>).</w:t>
      </w:r>
    </w:p>
    <w:p w:rsidR="0071441D" w:rsidRPr="0071441D" w:rsidRDefault="0071441D" w:rsidP="0071441D">
      <w:pPr>
        <w:spacing w:line="280" w:lineRule="exact"/>
        <w:ind w:left="709" w:hanging="709"/>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Die Einführung einer Digitalsteuer auf EU-Ebene als Zwischenlösung bis es zur Implementierung der Konzernbesteuerung kommt. Kann eine EU-weite Einigung nicht erreicht werden, sollte Österreich eine nationale Digitalsteuer einführen, die über die reine Be</w:t>
      </w:r>
      <w:r w:rsidR="00594E17">
        <w:rPr>
          <w:rFonts w:ascii="Arial" w:hAnsi="Arial" w:cs="Arial"/>
          <w:sz w:val="20"/>
          <w:szCs w:val="20"/>
        </w:rPr>
        <w:t>s</w:t>
      </w:r>
      <w:r w:rsidRPr="0071441D">
        <w:rPr>
          <w:rFonts w:ascii="Arial" w:hAnsi="Arial" w:cs="Arial"/>
          <w:sz w:val="20"/>
          <w:szCs w:val="20"/>
        </w:rPr>
        <w:t xml:space="preserve">teuerung der Online Werbung hinausgeht. </w:t>
      </w:r>
    </w:p>
    <w:p w:rsidR="0071441D" w:rsidRPr="0071441D" w:rsidRDefault="0071441D" w:rsidP="001C681D">
      <w:pPr>
        <w:jc w:val="both"/>
        <w:rPr>
          <w:rFonts w:ascii="Arial" w:hAnsi="Arial" w:cs="Arial"/>
          <w:sz w:val="20"/>
          <w:szCs w:val="20"/>
        </w:rPr>
      </w:pPr>
    </w:p>
    <w:p w:rsidR="0071441D" w:rsidRPr="0071441D" w:rsidRDefault="0071441D" w:rsidP="0071441D">
      <w:pPr>
        <w:spacing w:line="280" w:lineRule="exact"/>
        <w:jc w:val="both"/>
        <w:rPr>
          <w:rFonts w:ascii="Arial" w:hAnsi="Arial" w:cs="Arial"/>
          <w:sz w:val="20"/>
          <w:szCs w:val="20"/>
        </w:rPr>
      </w:pPr>
      <w:r w:rsidRPr="0071441D">
        <w:rPr>
          <w:rFonts w:ascii="Arial" w:hAnsi="Arial" w:cs="Arial"/>
          <w:sz w:val="20"/>
          <w:szCs w:val="20"/>
        </w:rPr>
        <w:t xml:space="preserve">Gesamtwirtschaftliche Prüfung von EU-Zusammenschlüssen und stärkere Einbindung von </w:t>
      </w:r>
      <w:proofErr w:type="spellStart"/>
      <w:r w:rsidRPr="0071441D">
        <w:rPr>
          <w:rFonts w:ascii="Arial" w:hAnsi="Arial" w:cs="Arial"/>
          <w:sz w:val="20"/>
          <w:szCs w:val="20"/>
        </w:rPr>
        <w:t>ArbeitnehmerInnen</w:t>
      </w:r>
      <w:proofErr w:type="spellEnd"/>
      <w:r w:rsidRPr="0071441D">
        <w:rPr>
          <w:rFonts w:ascii="Arial" w:hAnsi="Arial" w:cs="Arial"/>
          <w:sz w:val="20"/>
          <w:szCs w:val="20"/>
        </w:rPr>
        <w:t>-Interessensvertretungen</w:t>
      </w:r>
    </w:p>
    <w:p w:rsidR="0071441D" w:rsidRPr="0071441D" w:rsidRDefault="0071441D" w:rsidP="0071441D">
      <w:pPr>
        <w:spacing w:line="280" w:lineRule="exact"/>
        <w:ind w:left="709" w:hanging="709"/>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Im Rahmen einer Prüfung von Fusionen sollen ne</w:t>
      </w:r>
      <w:bookmarkStart w:id="0" w:name="_GoBack"/>
      <w:bookmarkEnd w:id="0"/>
      <w:r w:rsidRPr="0071441D">
        <w:rPr>
          <w:rFonts w:ascii="Arial" w:hAnsi="Arial" w:cs="Arial"/>
          <w:sz w:val="20"/>
          <w:szCs w:val="20"/>
        </w:rPr>
        <w:t>ben den Auswirkungen auf den europäischen Wettbewerb auch die Wirkungen auf andere Politikbereiche wie Industriepolitik, Beschäftigungspoliti</w:t>
      </w:r>
      <w:r w:rsidR="00594E17">
        <w:rPr>
          <w:rFonts w:ascii="Arial" w:hAnsi="Arial" w:cs="Arial"/>
          <w:sz w:val="20"/>
          <w:szCs w:val="20"/>
        </w:rPr>
        <w:t xml:space="preserve">k Regionalpolitik </w:t>
      </w:r>
      <w:proofErr w:type="spellStart"/>
      <w:r w:rsidR="00594E17">
        <w:rPr>
          <w:rFonts w:ascii="Arial" w:hAnsi="Arial" w:cs="Arial"/>
          <w:sz w:val="20"/>
          <w:szCs w:val="20"/>
        </w:rPr>
        <w:t>etc</w:t>
      </w:r>
      <w:proofErr w:type="spellEnd"/>
      <w:r w:rsidR="00594E17">
        <w:rPr>
          <w:rFonts w:ascii="Arial" w:hAnsi="Arial" w:cs="Arial"/>
          <w:sz w:val="20"/>
          <w:szCs w:val="20"/>
        </w:rPr>
        <w:t xml:space="preserve"> </w:t>
      </w:r>
      <w:proofErr w:type="spellStart"/>
      <w:r w:rsidR="00594E17">
        <w:rPr>
          <w:rFonts w:ascii="Arial" w:hAnsi="Arial" w:cs="Arial"/>
          <w:sz w:val="20"/>
          <w:szCs w:val="20"/>
        </w:rPr>
        <w:t>angemesse</w:t>
      </w:r>
      <w:proofErr w:type="spellEnd"/>
      <w:r w:rsidRPr="0071441D">
        <w:rPr>
          <w:rFonts w:ascii="Arial" w:hAnsi="Arial" w:cs="Arial"/>
          <w:sz w:val="20"/>
          <w:szCs w:val="20"/>
        </w:rPr>
        <w:t xml:space="preserve"> Berücksichtigung finden</w:t>
      </w:r>
      <w:r w:rsidR="00594E17">
        <w:rPr>
          <w:rFonts w:ascii="Arial" w:hAnsi="Arial" w:cs="Arial"/>
          <w:sz w:val="20"/>
          <w:szCs w:val="20"/>
        </w:rPr>
        <w:t>.</w:t>
      </w:r>
    </w:p>
    <w:p w:rsidR="0071441D" w:rsidRPr="0071441D" w:rsidRDefault="0071441D" w:rsidP="0071441D">
      <w:pPr>
        <w:spacing w:line="280" w:lineRule="exact"/>
        <w:ind w:left="709" w:hanging="709"/>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Der zukünftig zu erwartende Wettbewerb aufgrund Digitalisierung und Globalisierung der Märkte sollten stärker im Rahmen der Marktabgrenzung Eingang finden. Insbesondere bei der Prüfung von industriepolitisch bedeutender Zusammenschlüsse soll das mittelfristig zu erwartende globale Wettbewerbsumfeld stärker in die Entscheidungsfindung einfließen (dynamisches Element)</w:t>
      </w:r>
      <w:r w:rsidR="00594E17">
        <w:rPr>
          <w:rFonts w:ascii="Arial" w:hAnsi="Arial" w:cs="Arial"/>
          <w:sz w:val="20"/>
          <w:szCs w:val="20"/>
        </w:rPr>
        <w:t>.</w:t>
      </w:r>
    </w:p>
    <w:p w:rsidR="00FF0F51" w:rsidRDefault="0071441D" w:rsidP="00F3164C">
      <w:pPr>
        <w:spacing w:line="280" w:lineRule="exact"/>
        <w:ind w:left="709" w:hanging="709"/>
        <w:jc w:val="both"/>
        <w:rPr>
          <w:rFonts w:ascii="Arial" w:hAnsi="Arial" w:cs="Arial"/>
          <w:sz w:val="20"/>
          <w:szCs w:val="20"/>
        </w:rPr>
      </w:pPr>
      <w:r w:rsidRPr="0071441D">
        <w:rPr>
          <w:rFonts w:ascii="Arial" w:hAnsi="Arial" w:cs="Arial"/>
          <w:sz w:val="20"/>
          <w:szCs w:val="20"/>
        </w:rPr>
        <w:t>•</w:t>
      </w:r>
      <w:r w:rsidRPr="0071441D">
        <w:rPr>
          <w:rFonts w:ascii="Arial" w:hAnsi="Arial" w:cs="Arial"/>
          <w:sz w:val="20"/>
          <w:szCs w:val="20"/>
        </w:rPr>
        <w:tab/>
        <w:t xml:space="preserve">Erweiterung der Anmeldeerfordernisse hinsichtlich der Auswirkungen von Zusammenschlüssen auf Beschäftigte, Arbeitsbedingungen und Standorte sowie institutionalisierte Verfahrensbeteiligung der Belegschaftsvertretung und der </w:t>
      </w:r>
      <w:proofErr w:type="spellStart"/>
      <w:r w:rsidRPr="0071441D">
        <w:rPr>
          <w:rFonts w:ascii="Arial" w:hAnsi="Arial" w:cs="Arial"/>
          <w:sz w:val="20"/>
          <w:szCs w:val="20"/>
        </w:rPr>
        <w:t>ArbeitnehmerInnen</w:t>
      </w:r>
      <w:proofErr w:type="spellEnd"/>
      <w:r w:rsidRPr="0071441D">
        <w:rPr>
          <w:rFonts w:ascii="Arial" w:hAnsi="Arial" w:cs="Arial"/>
          <w:sz w:val="20"/>
          <w:szCs w:val="20"/>
        </w:rPr>
        <w:t xml:space="preserve"> Interessensvertretungen</w:t>
      </w:r>
      <w:r w:rsidR="00594E17">
        <w:rPr>
          <w:rFonts w:ascii="Arial" w:hAnsi="Arial" w:cs="Arial"/>
          <w:sz w:val="20"/>
          <w:szCs w:val="20"/>
        </w:rPr>
        <w:t>.</w:t>
      </w:r>
    </w:p>
    <w:tbl>
      <w:tblPr>
        <w:tblW w:w="0" w:type="auto"/>
        <w:tblBorders>
          <w:top w:val="single" w:sz="4" w:space="0" w:color="C0C0C0"/>
          <w:left w:val="single" w:sz="4" w:space="0" w:color="C0C0C0"/>
          <w:bottom w:val="single" w:sz="4" w:space="0" w:color="C0C0C0"/>
          <w:right w:val="single" w:sz="4" w:space="0" w:color="C0C0C0"/>
        </w:tblBorders>
        <w:shd w:val="clear" w:color="auto" w:fill="E0E0E0"/>
        <w:tblCellMar>
          <w:left w:w="70" w:type="dxa"/>
          <w:right w:w="70" w:type="dxa"/>
        </w:tblCellMar>
        <w:tblLook w:val="0000" w:firstRow="0" w:lastRow="0" w:firstColumn="0" w:lastColumn="0" w:noHBand="0" w:noVBand="0"/>
      </w:tblPr>
      <w:tblGrid>
        <w:gridCol w:w="1813"/>
        <w:gridCol w:w="1812"/>
        <w:gridCol w:w="1812"/>
        <w:gridCol w:w="1812"/>
        <w:gridCol w:w="1812"/>
      </w:tblGrid>
      <w:tr w:rsidR="005045DC" w:rsidRPr="00FF0F51" w:rsidTr="00AB5127">
        <w:trPr>
          <w:trHeight w:val="454"/>
        </w:trPr>
        <w:tc>
          <w:tcPr>
            <w:tcW w:w="1813"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bCs/>
                <w:sz w:val="16"/>
                <w:szCs w:val="16"/>
              </w:rPr>
            </w:pPr>
            <w:r w:rsidRPr="00FF0F51">
              <w:rPr>
                <w:rFonts w:ascii="Arial" w:hAnsi="Arial" w:cs="Arial"/>
                <w:bCs/>
                <w:sz w:val="16"/>
                <w:szCs w:val="16"/>
              </w:rPr>
              <w:t xml:space="preserve">Angenommen </w:t>
            </w:r>
            <w:bookmarkStart w:id="1" w:name="Kontrollkästchen1"/>
            <w:r>
              <w:rPr>
                <w:sz w:val="16"/>
                <w:szCs w:val="16"/>
              </w:rPr>
              <w:fldChar w:fldCharType="begin">
                <w:ffData>
                  <w:name w:val="Kontrollkästchen1"/>
                  <w:enabled/>
                  <w:calcOnExit w:val="0"/>
                  <w:checkBox>
                    <w:sizeAuto/>
                    <w:default w:val="0"/>
                  </w:checkBox>
                </w:ffData>
              </w:fldChar>
            </w:r>
            <w:r>
              <w:rPr>
                <w:sz w:val="16"/>
                <w:szCs w:val="16"/>
              </w:rPr>
              <w:instrText xml:space="preserve"> FORMCHECKBOX </w:instrText>
            </w:r>
            <w:r w:rsidR="00B63D54">
              <w:rPr>
                <w:sz w:val="16"/>
                <w:szCs w:val="16"/>
              </w:rPr>
            </w:r>
            <w:r w:rsidR="00B63D54">
              <w:rPr>
                <w:sz w:val="16"/>
                <w:szCs w:val="16"/>
              </w:rPr>
              <w:fldChar w:fldCharType="separate"/>
            </w:r>
            <w:r>
              <w:rPr>
                <w:sz w:val="16"/>
                <w:szCs w:val="16"/>
              </w:rPr>
              <w:fldChar w:fldCharType="end"/>
            </w:r>
            <w:bookmarkEnd w:id="1"/>
          </w:p>
        </w:tc>
        <w:tc>
          <w:tcPr>
            <w:tcW w:w="1812"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sz w:val="16"/>
                <w:szCs w:val="16"/>
              </w:rPr>
            </w:pPr>
            <w:r>
              <w:rPr>
                <w:rFonts w:ascii="Arial" w:hAnsi="Arial" w:cs="Arial"/>
                <w:sz w:val="16"/>
                <w:szCs w:val="16"/>
              </w:rPr>
              <w:t>Zuweisung</w:t>
            </w:r>
            <w:r w:rsidRPr="00FF0F51">
              <w:rPr>
                <w:rFonts w:ascii="Arial" w:hAnsi="Arial" w:cs="Arial"/>
                <w:sz w:val="16"/>
                <w:szCs w:val="16"/>
              </w:rPr>
              <w:t xml:space="preserve"> </w:t>
            </w:r>
            <w:r w:rsidRPr="00FF0F51">
              <w:rPr>
                <w:sz w:val="16"/>
                <w:szCs w:val="16"/>
              </w:rPr>
              <w:fldChar w:fldCharType="begin">
                <w:ffData>
                  <w:name w:val="Kontrollkästchen4"/>
                  <w:enabled/>
                  <w:calcOnExit w:val="0"/>
                  <w:checkBox>
                    <w:sizeAuto/>
                    <w:default w:val="0"/>
                  </w:checkBox>
                </w:ffData>
              </w:fldChar>
            </w:r>
            <w:r w:rsidRPr="00FF0F51">
              <w:rPr>
                <w:rFonts w:ascii="Arial" w:hAnsi="Arial" w:cs="Arial"/>
                <w:sz w:val="16"/>
                <w:szCs w:val="16"/>
              </w:rPr>
              <w:instrText xml:space="preserve"> FORMCHECKBOX </w:instrText>
            </w:r>
            <w:r w:rsidR="00B63D54">
              <w:rPr>
                <w:sz w:val="16"/>
                <w:szCs w:val="16"/>
              </w:rPr>
            </w:r>
            <w:r w:rsidR="00B63D54">
              <w:rPr>
                <w:sz w:val="16"/>
                <w:szCs w:val="16"/>
              </w:rPr>
              <w:fldChar w:fldCharType="separate"/>
            </w:r>
            <w:r w:rsidRPr="00FF0F51">
              <w:rPr>
                <w:sz w:val="16"/>
                <w:szCs w:val="16"/>
              </w:rPr>
              <w:fldChar w:fldCharType="end"/>
            </w:r>
          </w:p>
        </w:tc>
        <w:tc>
          <w:tcPr>
            <w:tcW w:w="1812"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sz w:val="16"/>
                <w:szCs w:val="16"/>
              </w:rPr>
            </w:pPr>
            <w:r w:rsidRPr="00FF0F51">
              <w:rPr>
                <w:rFonts w:ascii="Arial" w:hAnsi="Arial" w:cs="Arial"/>
                <w:sz w:val="16"/>
                <w:szCs w:val="16"/>
              </w:rPr>
              <w:t xml:space="preserve">Ablehnung </w:t>
            </w:r>
            <w:bookmarkStart w:id="2" w:name="Kontrollkästchen4"/>
            <w:r w:rsidRPr="00FF0F51">
              <w:rPr>
                <w:sz w:val="16"/>
                <w:szCs w:val="16"/>
              </w:rPr>
              <w:fldChar w:fldCharType="begin">
                <w:ffData>
                  <w:name w:val="Kontrollkästchen4"/>
                  <w:enabled/>
                  <w:calcOnExit w:val="0"/>
                  <w:checkBox>
                    <w:sizeAuto/>
                    <w:default w:val="0"/>
                  </w:checkBox>
                </w:ffData>
              </w:fldChar>
            </w:r>
            <w:r w:rsidRPr="00FF0F51">
              <w:rPr>
                <w:rFonts w:ascii="Arial" w:hAnsi="Arial" w:cs="Arial"/>
                <w:sz w:val="16"/>
                <w:szCs w:val="16"/>
              </w:rPr>
              <w:instrText xml:space="preserve"> FORMCHECKBOX </w:instrText>
            </w:r>
            <w:r w:rsidR="00B63D54">
              <w:rPr>
                <w:sz w:val="16"/>
                <w:szCs w:val="16"/>
              </w:rPr>
            </w:r>
            <w:r w:rsidR="00B63D54">
              <w:rPr>
                <w:sz w:val="16"/>
                <w:szCs w:val="16"/>
              </w:rPr>
              <w:fldChar w:fldCharType="separate"/>
            </w:r>
            <w:r w:rsidRPr="00FF0F51">
              <w:rPr>
                <w:sz w:val="16"/>
                <w:szCs w:val="16"/>
              </w:rPr>
              <w:fldChar w:fldCharType="end"/>
            </w:r>
            <w:bookmarkEnd w:id="2"/>
          </w:p>
        </w:tc>
        <w:tc>
          <w:tcPr>
            <w:tcW w:w="1812"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bCs/>
                <w:sz w:val="16"/>
                <w:szCs w:val="16"/>
              </w:rPr>
            </w:pPr>
            <w:r w:rsidRPr="00FF0F51">
              <w:rPr>
                <w:rFonts w:ascii="Arial" w:hAnsi="Arial" w:cs="Arial"/>
                <w:bCs/>
                <w:sz w:val="16"/>
                <w:szCs w:val="16"/>
              </w:rPr>
              <w:t xml:space="preserve">Einstimmig </w:t>
            </w:r>
            <w:bookmarkStart w:id="3" w:name="Kontrollkästchen2"/>
            <w:r w:rsidRPr="00FF0F51">
              <w:rPr>
                <w:sz w:val="16"/>
                <w:szCs w:val="16"/>
              </w:rPr>
              <w:fldChar w:fldCharType="begin">
                <w:ffData>
                  <w:name w:val="Kontrollkästchen2"/>
                  <w:enabled/>
                  <w:calcOnExit w:val="0"/>
                  <w:checkBox>
                    <w:sizeAuto/>
                    <w:default w:val="0"/>
                  </w:checkBox>
                </w:ffData>
              </w:fldChar>
            </w:r>
            <w:r w:rsidRPr="00FF0F51">
              <w:rPr>
                <w:sz w:val="16"/>
                <w:szCs w:val="16"/>
              </w:rPr>
              <w:instrText xml:space="preserve"> FORMCHECKBOX </w:instrText>
            </w:r>
            <w:r w:rsidR="00B63D54">
              <w:rPr>
                <w:sz w:val="16"/>
                <w:szCs w:val="16"/>
              </w:rPr>
            </w:r>
            <w:r w:rsidR="00B63D54">
              <w:rPr>
                <w:sz w:val="16"/>
                <w:szCs w:val="16"/>
              </w:rPr>
              <w:fldChar w:fldCharType="separate"/>
            </w:r>
            <w:r w:rsidRPr="00FF0F51">
              <w:rPr>
                <w:sz w:val="16"/>
                <w:szCs w:val="16"/>
              </w:rPr>
              <w:fldChar w:fldCharType="end"/>
            </w:r>
            <w:bookmarkEnd w:id="3"/>
          </w:p>
        </w:tc>
        <w:tc>
          <w:tcPr>
            <w:tcW w:w="1812" w:type="dxa"/>
            <w:tcBorders>
              <w:top w:val="single" w:sz="4" w:space="0" w:color="C0C0C0"/>
              <w:left w:val="single" w:sz="4" w:space="0" w:color="C0C0C0"/>
              <w:bottom w:val="single" w:sz="4" w:space="0" w:color="C0C0C0"/>
              <w:right w:val="single" w:sz="4" w:space="0" w:color="C0C0C0"/>
            </w:tcBorders>
            <w:shd w:val="clear" w:color="auto" w:fill="E0E0E0"/>
            <w:vAlign w:val="center"/>
          </w:tcPr>
          <w:p w:rsidR="005045DC" w:rsidRPr="00FF0F51" w:rsidRDefault="005045DC" w:rsidP="008938E3">
            <w:pPr>
              <w:jc w:val="center"/>
              <w:rPr>
                <w:rFonts w:ascii="Arial" w:hAnsi="Arial" w:cs="Arial"/>
                <w:sz w:val="16"/>
                <w:szCs w:val="16"/>
              </w:rPr>
            </w:pPr>
            <w:r w:rsidRPr="00FF0F51">
              <w:rPr>
                <w:rFonts w:ascii="Arial" w:hAnsi="Arial" w:cs="Arial"/>
                <w:sz w:val="16"/>
                <w:szCs w:val="16"/>
              </w:rPr>
              <w:t xml:space="preserve">Mehrstimmig </w:t>
            </w:r>
            <w:bookmarkStart w:id="4" w:name="Kontrollkästchen3"/>
            <w:r>
              <w:rPr>
                <w:sz w:val="16"/>
                <w:szCs w:val="16"/>
              </w:rPr>
              <w:fldChar w:fldCharType="begin">
                <w:ffData>
                  <w:name w:val="Kontrollkästchen3"/>
                  <w:enabled/>
                  <w:calcOnExit w:val="0"/>
                  <w:checkBox>
                    <w:sizeAuto/>
                    <w:default w:val="0"/>
                  </w:checkBox>
                </w:ffData>
              </w:fldChar>
            </w:r>
            <w:r>
              <w:rPr>
                <w:sz w:val="16"/>
                <w:szCs w:val="16"/>
              </w:rPr>
              <w:instrText xml:space="preserve"> FORMCHECKBOX </w:instrText>
            </w:r>
            <w:r w:rsidR="00B63D54">
              <w:rPr>
                <w:sz w:val="16"/>
                <w:szCs w:val="16"/>
              </w:rPr>
            </w:r>
            <w:r w:rsidR="00B63D54">
              <w:rPr>
                <w:sz w:val="16"/>
                <w:szCs w:val="16"/>
              </w:rPr>
              <w:fldChar w:fldCharType="separate"/>
            </w:r>
            <w:r>
              <w:rPr>
                <w:sz w:val="16"/>
                <w:szCs w:val="16"/>
              </w:rPr>
              <w:fldChar w:fldCharType="end"/>
            </w:r>
            <w:bookmarkEnd w:id="4"/>
          </w:p>
        </w:tc>
      </w:tr>
    </w:tbl>
    <w:p w:rsidR="00FF0F51" w:rsidRPr="003F2336" w:rsidRDefault="00FF0F51" w:rsidP="003F2336">
      <w:pPr>
        <w:jc w:val="both"/>
        <w:rPr>
          <w:rFonts w:ascii="Arial" w:hAnsi="Arial" w:cs="Arial"/>
          <w:sz w:val="6"/>
          <w:szCs w:val="6"/>
        </w:rPr>
      </w:pPr>
    </w:p>
    <w:sectPr w:rsidR="00FF0F51" w:rsidRPr="003F2336" w:rsidSect="008705B8">
      <w:headerReference w:type="default" r:id="rId6"/>
      <w:footerReference w:type="default" r:id="rId7"/>
      <w:headerReference w:type="first" r:id="rId8"/>
      <w:footerReference w:type="first" r:id="rId9"/>
      <w:pgSz w:w="11906" w:h="16838" w:code="9"/>
      <w:pgMar w:top="2336"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441D" w:rsidRDefault="0071441D">
      <w:r>
        <w:separator/>
      </w:r>
    </w:p>
  </w:endnote>
  <w:endnote w:type="continuationSeparator" w:id="0">
    <w:p w:rsidR="0071441D" w:rsidRDefault="0071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915" w:rsidRDefault="009D5915" w:rsidP="009D5915">
    <w:pPr>
      <w:pStyle w:val="Fuzeile"/>
      <w:jc w:val="center"/>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FILENAME  \p  \* MERGEFORMAT </w:instrText>
    </w:r>
    <w:r>
      <w:rPr>
        <w:rFonts w:ascii="Arial" w:hAnsi="Arial" w:cs="Arial"/>
        <w:sz w:val="16"/>
        <w:szCs w:val="16"/>
      </w:rPr>
      <w:fldChar w:fldCharType="separate"/>
    </w:r>
    <w:r w:rsidR="00B63D54">
      <w:rPr>
        <w:rFonts w:ascii="Arial" w:hAnsi="Arial" w:cs="Arial"/>
        <w:noProof/>
        <w:sz w:val="16"/>
        <w:szCs w:val="16"/>
      </w:rPr>
      <w:t>N:\D_P\_D_P\Wr VV\173. VV - 12.11.2019\2. Anträge\1. FSG\FSG07 - W - Wettbewerb_NEU.docx</w:t>
    </w:r>
    <w:r>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Pr="001242D4" w:rsidRDefault="001B2D7A" w:rsidP="001242D4">
    <w:pPr>
      <w:pStyle w:val="Fuzeile"/>
      <w:jc w:val="right"/>
      <w:rPr>
        <w:rFonts w:ascii="Arial" w:hAnsi="Arial" w:cs="Arial"/>
        <w:sz w:val="16"/>
        <w:szCs w:val="16"/>
      </w:rPr>
    </w:pPr>
    <w:r w:rsidRPr="001242D4">
      <w:rPr>
        <w:rFonts w:ascii="Arial" w:hAnsi="Arial" w:cs="Arial"/>
        <w:snapToGrid w:val="0"/>
        <w:sz w:val="16"/>
        <w:szCs w:val="16"/>
      </w:rPr>
      <w:t xml:space="preserve">Seite </w:t>
    </w:r>
    <w:r w:rsidRPr="001242D4">
      <w:rPr>
        <w:rFonts w:ascii="Arial" w:hAnsi="Arial" w:cs="Arial"/>
        <w:snapToGrid w:val="0"/>
        <w:sz w:val="16"/>
        <w:szCs w:val="16"/>
      </w:rPr>
      <w:fldChar w:fldCharType="begin"/>
    </w:r>
    <w:r w:rsidRPr="001242D4">
      <w:rPr>
        <w:rFonts w:ascii="Arial" w:hAnsi="Arial" w:cs="Arial"/>
        <w:snapToGrid w:val="0"/>
        <w:sz w:val="16"/>
        <w:szCs w:val="16"/>
      </w:rPr>
      <w:instrText xml:space="preserve"> PAGE </w:instrText>
    </w:r>
    <w:r w:rsidRPr="001242D4">
      <w:rPr>
        <w:rFonts w:ascii="Arial" w:hAnsi="Arial" w:cs="Arial"/>
        <w:snapToGrid w:val="0"/>
        <w:sz w:val="16"/>
        <w:szCs w:val="16"/>
      </w:rPr>
      <w:fldChar w:fldCharType="separate"/>
    </w:r>
    <w:r>
      <w:rPr>
        <w:rFonts w:ascii="Arial" w:hAnsi="Arial" w:cs="Arial"/>
        <w:noProof/>
        <w:snapToGrid w:val="0"/>
        <w:sz w:val="16"/>
        <w:szCs w:val="16"/>
      </w:rPr>
      <w:t>1</w:t>
    </w:r>
    <w:r w:rsidRPr="001242D4">
      <w:rPr>
        <w:rFonts w:ascii="Arial" w:hAnsi="Arial" w:cs="Arial"/>
        <w:snapToGrid w:val="0"/>
        <w:sz w:val="16"/>
        <w:szCs w:val="16"/>
      </w:rPr>
      <w:fldChar w:fldCharType="end"/>
    </w:r>
    <w:r w:rsidRPr="001242D4">
      <w:rPr>
        <w:rFonts w:ascii="Arial" w:hAnsi="Arial" w:cs="Arial"/>
        <w:snapToGrid w:val="0"/>
        <w:sz w:val="16"/>
        <w:szCs w:val="16"/>
      </w:rPr>
      <w:t xml:space="preserve"> von </w:t>
    </w:r>
    <w:r w:rsidRPr="001242D4">
      <w:rPr>
        <w:rFonts w:ascii="Arial" w:hAnsi="Arial" w:cs="Arial"/>
        <w:snapToGrid w:val="0"/>
        <w:sz w:val="16"/>
        <w:szCs w:val="16"/>
      </w:rPr>
      <w:fldChar w:fldCharType="begin"/>
    </w:r>
    <w:r w:rsidRPr="001242D4">
      <w:rPr>
        <w:rFonts w:ascii="Arial" w:hAnsi="Arial" w:cs="Arial"/>
        <w:snapToGrid w:val="0"/>
        <w:sz w:val="16"/>
        <w:szCs w:val="16"/>
      </w:rPr>
      <w:instrText xml:space="preserve"> NUMPAGES </w:instrText>
    </w:r>
    <w:r w:rsidRPr="001242D4">
      <w:rPr>
        <w:rFonts w:ascii="Arial" w:hAnsi="Arial" w:cs="Arial"/>
        <w:snapToGrid w:val="0"/>
        <w:sz w:val="16"/>
        <w:szCs w:val="16"/>
      </w:rPr>
      <w:fldChar w:fldCharType="separate"/>
    </w:r>
    <w:r w:rsidR="00946316">
      <w:rPr>
        <w:rFonts w:ascii="Arial" w:hAnsi="Arial" w:cs="Arial"/>
        <w:noProof/>
        <w:snapToGrid w:val="0"/>
        <w:sz w:val="16"/>
        <w:szCs w:val="16"/>
      </w:rPr>
      <w:t>2</w:t>
    </w:r>
    <w:r w:rsidRPr="001242D4">
      <w:rPr>
        <w:rFonts w:ascii="Arial" w:hAnsi="Arial" w:cs="Arial"/>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441D" w:rsidRDefault="0071441D">
      <w:r>
        <w:separator/>
      </w:r>
    </w:p>
  </w:footnote>
  <w:footnote w:type="continuationSeparator" w:id="0">
    <w:p w:rsidR="0071441D" w:rsidRDefault="00714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Default="003F2336">
    <w:pPr>
      <w:pStyle w:val="Kopfzeile"/>
    </w:pPr>
    <w:r>
      <w:rPr>
        <w:noProof/>
        <w:lang w:val="de-AT" w:eastAsia="de-AT"/>
      </w:rPr>
      <w:drawing>
        <wp:anchor distT="0" distB="0" distL="114300" distR="114300" simplePos="0" relativeHeight="251658240" behindDoc="0" locked="0" layoutInCell="1" allowOverlap="1">
          <wp:simplePos x="0" y="0"/>
          <wp:positionH relativeFrom="column">
            <wp:posOffset>4610100</wp:posOffset>
          </wp:positionH>
          <wp:positionV relativeFrom="paragraph">
            <wp:posOffset>156845</wp:posOffset>
          </wp:positionV>
          <wp:extent cx="1355090" cy="893445"/>
          <wp:effectExtent l="0" t="0" r="0" b="1905"/>
          <wp:wrapNone/>
          <wp:docPr id="3" name="Bild 3" descr="W-AK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AK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090"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2D7A" w:rsidRPr="009C5C9B" w:rsidRDefault="003F2336" w:rsidP="009C5C9B">
    <w:pPr>
      <w:pStyle w:val="Kopfzeile"/>
      <w:jc w:val="right"/>
      <w:rPr>
        <w:rFonts w:ascii="Arial" w:hAnsi="Arial" w:cs="Arial"/>
        <w:sz w:val="16"/>
        <w:szCs w:val="16"/>
      </w:rPr>
    </w:pPr>
    <w:r>
      <w:rPr>
        <w:rFonts w:ascii="Arial" w:hAnsi="Arial" w:cs="Arial"/>
        <w:noProof/>
        <w:sz w:val="16"/>
        <w:szCs w:val="16"/>
        <w:lang w:val="de-AT" w:eastAsia="de-AT"/>
      </w:rPr>
      <w:drawing>
        <wp:anchor distT="0" distB="0" distL="114300" distR="114300" simplePos="0" relativeHeight="251657216" behindDoc="0" locked="0" layoutInCell="1" allowOverlap="1">
          <wp:simplePos x="0" y="0"/>
          <wp:positionH relativeFrom="column">
            <wp:posOffset>4457700</wp:posOffset>
          </wp:positionH>
          <wp:positionV relativeFrom="paragraph">
            <wp:posOffset>4445</wp:posOffset>
          </wp:positionV>
          <wp:extent cx="1355090" cy="893445"/>
          <wp:effectExtent l="0" t="0" r="0" b="1905"/>
          <wp:wrapNone/>
          <wp:docPr id="2" name="Bild 2" descr="W-AK_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K_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090" cy="893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287"/>
    <w:rsid w:val="00011F4D"/>
    <w:rsid w:val="000159F7"/>
    <w:rsid w:val="000203D6"/>
    <w:rsid w:val="00032D84"/>
    <w:rsid w:val="00057EF1"/>
    <w:rsid w:val="0006383D"/>
    <w:rsid w:val="00090AD6"/>
    <w:rsid w:val="00110CB8"/>
    <w:rsid w:val="001242D4"/>
    <w:rsid w:val="001374A7"/>
    <w:rsid w:val="00184EA1"/>
    <w:rsid w:val="0018667C"/>
    <w:rsid w:val="001B2D7A"/>
    <w:rsid w:val="001C681D"/>
    <w:rsid w:val="001D59A4"/>
    <w:rsid w:val="002B763C"/>
    <w:rsid w:val="00395D90"/>
    <w:rsid w:val="00396946"/>
    <w:rsid w:val="003E14D6"/>
    <w:rsid w:val="003F2336"/>
    <w:rsid w:val="003F792C"/>
    <w:rsid w:val="00434C82"/>
    <w:rsid w:val="00452CFD"/>
    <w:rsid w:val="0047100A"/>
    <w:rsid w:val="00484F4A"/>
    <w:rsid w:val="004C587E"/>
    <w:rsid w:val="005045DC"/>
    <w:rsid w:val="00594E17"/>
    <w:rsid w:val="006D6EAF"/>
    <w:rsid w:val="0071441D"/>
    <w:rsid w:val="008705B8"/>
    <w:rsid w:val="008938E3"/>
    <w:rsid w:val="00946316"/>
    <w:rsid w:val="009C5C9B"/>
    <w:rsid w:val="009D5915"/>
    <w:rsid w:val="00AB5127"/>
    <w:rsid w:val="00B211DB"/>
    <w:rsid w:val="00B63D54"/>
    <w:rsid w:val="00BA3D87"/>
    <w:rsid w:val="00C67832"/>
    <w:rsid w:val="00D20E3E"/>
    <w:rsid w:val="00D3405D"/>
    <w:rsid w:val="00E5636C"/>
    <w:rsid w:val="00F2402B"/>
    <w:rsid w:val="00F3164C"/>
    <w:rsid w:val="00FF0F51"/>
    <w:rsid w:val="00FF12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E06F115B-EB05-4D3D-B6A5-8902B09D7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lang w:val="de-DE" w:eastAsia="de-DE"/>
    </w:rPr>
  </w:style>
  <w:style w:type="paragraph" w:styleId="berschrift1">
    <w:name w:val="heading 1"/>
    <w:basedOn w:val="Standard"/>
    <w:next w:val="Standard"/>
    <w:qFormat/>
    <w:pPr>
      <w:keepNext/>
      <w:spacing w:line="280" w:lineRule="exact"/>
      <w:jc w:val="center"/>
      <w:outlineLvl w:val="0"/>
    </w:pPr>
    <w:rPr>
      <w:rFonts w:ascii="Arial" w:hAnsi="Arial"/>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F0F51"/>
    <w:pPr>
      <w:tabs>
        <w:tab w:val="center" w:pos="4536"/>
        <w:tab w:val="right" w:pos="9072"/>
      </w:tabs>
    </w:pPr>
  </w:style>
  <w:style w:type="paragraph" w:styleId="Fuzeile">
    <w:name w:val="footer"/>
    <w:basedOn w:val="Standard"/>
    <w:link w:val="FuzeileZchn"/>
    <w:rsid w:val="00FF0F51"/>
    <w:pPr>
      <w:tabs>
        <w:tab w:val="center" w:pos="4536"/>
        <w:tab w:val="right" w:pos="9072"/>
      </w:tabs>
    </w:pPr>
  </w:style>
  <w:style w:type="character" w:styleId="Seitenzahl">
    <w:name w:val="page number"/>
    <w:basedOn w:val="Absatz-Standardschriftart"/>
    <w:rsid w:val="00D3405D"/>
  </w:style>
  <w:style w:type="character" w:customStyle="1" w:styleId="FuzeileZchn">
    <w:name w:val="Fußzeile Zchn"/>
    <w:basedOn w:val="Absatz-Standardschriftart"/>
    <w:link w:val="Fuzeile"/>
    <w:rsid w:val="009D5915"/>
    <w:rPr>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67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D3A6D04F</Template>
  <TotalTime>0</TotalTime>
  <Pages>2</Pages>
  <Words>680</Words>
  <Characters>5573</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Antrag Nr</vt:lpstr>
    </vt:vector>
  </TitlesOfParts>
  <Company>AK-Wien</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Nr</dc:title>
  <dc:creator>KLAUBAUF Daniela</dc:creator>
  <cp:lastModifiedBy>AFFENZELLER-GREIF Dina</cp:lastModifiedBy>
  <cp:revision>3</cp:revision>
  <cp:lastPrinted>2007-03-19T07:44:00Z</cp:lastPrinted>
  <dcterms:created xsi:type="dcterms:W3CDTF">2019-11-05T15:48:00Z</dcterms:created>
  <dcterms:modified xsi:type="dcterms:W3CDTF">2019-11-05T15:48:00Z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