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370E" w:rsidRDefault="008516BC">
      <w:pPr>
        <w:rPr>
          <w:rFonts w:ascii="FreeSans" w:hAnsi="FreeSans" w:cs="FreeSans"/>
          <w:sz w:val="22"/>
          <w:szCs w:val="22"/>
        </w:rPr>
      </w:pPr>
      <w:r>
        <w:rPr>
          <w:rFonts w:ascii="FreeSans" w:hAnsi="FreeSans" w:cs="FreeSans"/>
          <w:noProof/>
          <w:sz w:val="22"/>
          <w:szCs w:val="22"/>
          <w:lang w:val="de-DE" w:eastAsia="de-DE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4188460</wp:posOffset>
            </wp:positionH>
            <wp:positionV relativeFrom="paragraph">
              <wp:posOffset>-170180</wp:posOffset>
            </wp:positionV>
            <wp:extent cx="2124075" cy="1022350"/>
            <wp:effectExtent l="0" t="0" r="0" b="0"/>
            <wp:wrapSquare wrapText="largest"/>
            <wp:docPr id="1" name="Graf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15" t="-236" r="-115" b="-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370E" w:rsidRDefault="00EC370E">
      <w:pPr>
        <w:rPr>
          <w:rFonts w:ascii="FreeSans" w:hAnsi="FreeSans" w:cs="FreeSans"/>
          <w:sz w:val="22"/>
          <w:szCs w:val="22"/>
        </w:rPr>
      </w:pPr>
    </w:p>
    <w:p w:rsidR="00EC370E" w:rsidRDefault="00EC370E">
      <w:pPr>
        <w:rPr>
          <w:rFonts w:ascii="FreeSans" w:hAnsi="FreeSans" w:cs="FreeSans"/>
          <w:sz w:val="22"/>
          <w:szCs w:val="22"/>
        </w:rPr>
      </w:pPr>
    </w:p>
    <w:p w:rsidR="00EC370E" w:rsidRDefault="00EC370E">
      <w:pPr>
        <w:rPr>
          <w:rFonts w:ascii="FreeSans" w:hAnsi="FreeSans" w:cs="FreeSans"/>
          <w:sz w:val="22"/>
          <w:szCs w:val="22"/>
        </w:rPr>
      </w:pPr>
    </w:p>
    <w:p w:rsidR="00EC370E" w:rsidRDefault="00EC370E">
      <w:pPr>
        <w:rPr>
          <w:rFonts w:ascii="FreeSans" w:hAnsi="FreeSans" w:cs="FreeSans"/>
          <w:sz w:val="22"/>
          <w:szCs w:val="22"/>
        </w:rPr>
      </w:pPr>
    </w:p>
    <w:p w:rsidR="00EC370E" w:rsidRDefault="00EC370E">
      <w:pPr>
        <w:rPr>
          <w:rFonts w:ascii="FreeSans" w:hAnsi="FreeSans" w:cs="FreeSans"/>
          <w:sz w:val="22"/>
          <w:szCs w:val="22"/>
        </w:rPr>
      </w:pPr>
    </w:p>
    <w:p w:rsidR="00EC370E" w:rsidRDefault="008516BC">
      <w:r>
        <w:rPr>
          <w:rFonts w:ascii="FreeSans" w:hAnsi="FreeSans" w:cs="FreeSans"/>
          <w:sz w:val="22"/>
          <w:szCs w:val="22"/>
        </w:rPr>
        <w:t>Antrag</w:t>
      </w:r>
      <w:r>
        <w:rPr>
          <w:rFonts w:ascii="FreeSans" w:eastAsia="FreeSans" w:hAnsi="FreeSans" w:cs="FreeSans"/>
          <w:sz w:val="22"/>
          <w:szCs w:val="22"/>
        </w:rPr>
        <w:t xml:space="preserve"> 6</w:t>
      </w:r>
    </w:p>
    <w:p w:rsidR="00EC370E" w:rsidRDefault="00EC370E">
      <w:pPr>
        <w:rPr>
          <w:rFonts w:ascii="FreeSans" w:hAnsi="FreeSans" w:cs="FreeSans"/>
          <w:sz w:val="22"/>
          <w:szCs w:val="22"/>
        </w:rPr>
      </w:pPr>
    </w:p>
    <w:p w:rsidR="00EC370E" w:rsidRDefault="008516BC">
      <w:pPr>
        <w:spacing w:line="360" w:lineRule="auto"/>
      </w:pPr>
      <w:r>
        <w:rPr>
          <w:rFonts w:ascii="FreeSans" w:hAnsi="FreeSans" w:cs="FreeSans"/>
          <w:sz w:val="22"/>
          <w:szCs w:val="22"/>
        </w:rPr>
        <w:t>der</w:t>
      </w:r>
      <w:r>
        <w:rPr>
          <w:rFonts w:ascii="FreeSans" w:eastAsia="FreeSans" w:hAnsi="FreeSans" w:cs="FreeSans"/>
          <w:sz w:val="22"/>
          <w:szCs w:val="22"/>
        </w:rPr>
        <w:t xml:space="preserve"> </w:t>
      </w:r>
      <w:r>
        <w:rPr>
          <w:rFonts w:ascii="FreeSans" w:hAnsi="FreeSans" w:cs="FreeSans"/>
          <w:b/>
          <w:sz w:val="22"/>
          <w:szCs w:val="22"/>
        </w:rPr>
        <w:t>AUGE/UG</w:t>
      </w:r>
      <w:r>
        <w:rPr>
          <w:rFonts w:ascii="FreeSans" w:eastAsia="FreeSans" w:hAnsi="FreeSans" w:cs="FreeSans"/>
          <w:b/>
          <w:sz w:val="22"/>
          <w:szCs w:val="22"/>
        </w:rPr>
        <w:t xml:space="preserve"> </w:t>
      </w:r>
      <w:r>
        <w:rPr>
          <w:rFonts w:ascii="FreeSans" w:hAnsi="FreeSans" w:cs="FreeSans"/>
          <w:b/>
          <w:sz w:val="22"/>
          <w:szCs w:val="22"/>
        </w:rPr>
        <w:t>-</w:t>
      </w:r>
    </w:p>
    <w:p w:rsidR="00EC370E" w:rsidRDefault="008516BC">
      <w:pPr>
        <w:spacing w:after="113" w:line="360" w:lineRule="auto"/>
      </w:pPr>
      <w:r>
        <w:rPr>
          <w:rFonts w:ascii="FreeSans" w:hAnsi="FreeSans" w:cs="FreeSans"/>
          <w:sz w:val="22"/>
          <w:szCs w:val="22"/>
        </w:rPr>
        <w:t>Alternative,</w:t>
      </w:r>
      <w:r>
        <w:rPr>
          <w:rFonts w:ascii="FreeSans" w:eastAsia="FreeSans" w:hAnsi="FreeSans" w:cs="FreeSans"/>
          <w:sz w:val="22"/>
          <w:szCs w:val="22"/>
        </w:rPr>
        <w:t xml:space="preserve"> </w:t>
      </w:r>
      <w:r>
        <w:rPr>
          <w:rFonts w:ascii="FreeSans" w:hAnsi="FreeSans" w:cs="FreeSans"/>
          <w:sz w:val="22"/>
          <w:szCs w:val="22"/>
        </w:rPr>
        <w:t>Grüne</w:t>
      </w:r>
      <w:r>
        <w:rPr>
          <w:rFonts w:ascii="FreeSans" w:eastAsia="FreeSans" w:hAnsi="FreeSans" w:cs="FreeSans"/>
          <w:sz w:val="22"/>
          <w:szCs w:val="22"/>
        </w:rPr>
        <w:t xml:space="preserve"> und Unabhängige </w:t>
      </w:r>
      <w:proofErr w:type="spellStart"/>
      <w:r>
        <w:rPr>
          <w:rFonts w:ascii="FreeSans" w:hAnsi="FreeSans" w:cs="FreeSans"/>
          <w:sz w:val="22"/>
          <w:szCs w:val="22"/>
        </w:rPr>
        <w:t>GewerkschafterInnen</w:t>
      </w:r>
      <w:proofErr w:type="spellEnd"/>
    </w:p>
    <w:p w:rsidR="00EC370E" w:rsidRDefault="008516BC">
      <w:pPr>
        <w:spacing w:line="360" w:lineRule="auto"/>
      </w:pPr>
      <w:r>
        <w:rPr>
          <w:rFonts w:ascii="FreeSans" w:hAnsi="FreeSans" w:cs="FreeSans"/>
          <w:sz w:val="22"/>
          <w:szCs w:val="22"/>
        </w:rPr>
        <w:t>zur</w:t>
      </w:r>
      <w:r>
        <w:rPr>
          <w:rFonts w:ascii="FreeSans" w:eastAsia="FreeSans" w:hAnsi="FreeSans" w:cs="FreeSans"/>
          <w:sz w:val="22"/>
          <w:szCs w:val="22"/>
        </w:rPr>
        <w:t xml:space="preserve"> 173</w:t>
      </w:r>
      <w:r>
        <w:rPr>
          <w:rFonts w:ascii="FreeSans" w:hAnsi="FreeSans" w:cs="FreeSans"/>
          <w:sz w:val="22"/>
          <w:szCs w:val="22"/>
        </w:rPr>
        <w:t>.</w:t>
      </w:r>
      <w:r>
        <w:rPr>
          <w:rFonts w:ascii="FreeSans" w:eastAsia="FreeSans" w:hAnsi="FreeSans" w:cs="FreeSans"/>
          <w:sz w:val="22"/>
          <w:szCs w:val="22"/>
        </w:rPr>
        <w:t xml:space="preserve"> Vollversammlung </w:t>
      </w:r>
      <w:r>
        <w:rPr>
          <w:rFonts w:ascii="FreeSans" w:hAnsi="FreeSans" w:cs="FreeSans"/>
          <w:sz w:val="22"/>
          <w:szCs w:val="22"/>
        </w:rPr>
        <w:t>der</w:t>
      </w:r>
      <w:r>
        <w:rPr>
          <w:rFonts w:ascii="FreeSans" w:eastAsia="FreeSans" w:hAnsi="FreeSans" w:cs="FreeSans"/>
          <w:sz w:val="22"/>
          <w:szCs w:val="22"/>
        </w:rPr>
        <w:t xml:space="preserve"> A</w:t>
      </w:r>
      <w:r>
        <w:rPr>
          <w:rFonts w:ascii="FreeSans" w:hAnsi="FreeSans" w:cs="FreeSans"/>
          <w:sz w:val="22"/>
          <w:szCs w:val="22"/>
        </w:rPr>
        <w:t>rbeiterkammer</w:t>
      </w:r>
      <w:r>
        <w:rPr>
          <w:rFonts w:ascii="FreeSans" w:eastAsia="FreeSans" w:hAnsi="FreeSans" w:cs="FreeSans"/>
          <w:sz w:val="22"/>
          <w:szCs w:val="22"/>
        </w:rPr>
        <w:t xml:space="preserve"> </w:t>
      </w:r>
      <w:r>
        <w:rPr>
          <w:rFonts w:ascii="FreeSans" w:hAnsi="FreeSans" w:cs="FreeSans"/>
          <w:sz w:val="22"/>
          <w:szCs w:val="22"/>
        </w:rPr>
        <w:t>Wien</w:t>
      </w:r>
    </w:p>
    <w:p w:rsidR="00EC370E" w:rsidRDefault="008516BC">
      <w:pPr>
        <w:pStyle w:val="sp2txt"/>
        <w:spacing w:before="0" w:line="360" w:lineRule="auto"/>
        <w:rPr>
          <w:rFonts w:ascii="FreeSans" w:eastAsia="FreeSans" w:hAnsi="FreeSans" w:cs="FreeSans"/>
          <w:sz w:val="22"/>
          <w:szCs w:val="22"/>
        </w:rPr>
      </w:pPr>
      <w:r>
        <w:rPr>
          <w:rFonts w:ascii="FreeSans" w:hAnsi="FreeSans" w:cs="FreeSans"/>
          <w:sz w:val="22"/>
          <w:szCs w:val="22"/>
        </w:rPr>
        <w:t>am</w:t>
      </w:r>
      <w:r>
        <w:rPr>
          <w:rFonts w:ascii="FreeSans" w:eastAsia="FreeSans" w:hAnsi="FreeSans" w:cs="FreeSans"/>
          <w:sz w:val="22"/>
          <w:szCs w:val="22"/>
        </w:rPr>
        <w:t xml:space="preserve"> 12. November 2019</w:t>
      </w:r>
    </w:p>
    <w:p w:rsidR="00EC370E" w:rsidRDefault="008516BC">
      <w:pPr>
        <w:pStyle w:val="AntragText"/>
        <w:spacing w:line="360" w:lineRule="auto"/>
      </w:pPr>
      <w:r>
        <w:t>Billigfleisch hat seinen Preis – für die Tiere, aber auch für unsere Gesundheit und Umwelt</w:t>
      </w:r>
    </w:p>
    <w:p w:rsidR="00EC370E" w:rsidRDefault="00EC370E">
      <w:pPr>
        <w:pStyle w:val="AntragText"/>
        <w:spacing w:line="360" w:lineRule="auto"/>
        <w:rPr>
          <w:sz w:val="21"/>
          <w:szCs w:val="21"/>
        </w:rPr>
      </w:pPr>
    </w:p>
    <w:p w:rsidR="00EC370E" w:rsidRDefault="008516BC">
      <w:pPr>
        <w:pStyle w:val="AntragText"/>
        <w:spacing w:line="360" w:lineRule="auto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Der Weltklimarat IPCC untersuchte den Zusammenhang zwischen der Landnutzung durch den Menschen und der Klimaerhitzung. Laut dem aktuellen Bericht „</w:t>
      </w:r>
      <w:proofErr w:type="spellStart"/>
      <w:r>
        <w:rPr>
          <w:b w:val="0"/>
          <w:bCs w:val="0"/>
          <w:sz w:val="21"/>
          <w:szCs w:val="21"/>
        </w:rPr>
        <w:t>Climate</w:t>
      </w:r>
      <w:proofErr w:type="spellEnd"/>
      <w:r>
        <w:rPr>
          <w:b w:val="0"/>
          <w:bCs w:val="0"/>
          <w:sz w:val="21"/>
          <w:szCs w:val="21"/>
        </w:rPr>
        <w:t xml:space="preserve"> Change </w:t>
      </w:r>
      <w:proofErr w:type="spellStart"/>
      <w:r>
        <w:rPr>
          <w:b w:val="0"/>
          <w:bCs w:val="0"/>
          <w:sz w:val="21"/>
          <w:szCs w:val="21"/>
        </w:rPr>
        <w:t>and</w:t>
      </w:r>
      <w:proofErr w:type="spellEnd"/>
      <w:r>
        <w:rPr>
          <w:b w:val="0"/>
          <w:bCs w:val="0"/>
          <w:sz w:val="21"/>
          <w:szCs w:val="21"/>
        </w:rPr>
        <w:t xml:space="preserve"> Land“ des IPCC sind die Auswirkungen deutlich dramatischer als bisher angenommen: Unser gl</w:t>
      </w:r>
      <w:r>
        <w:rPr>
          <w:b w:val="0"/>
          <w:bCs w:val="0"/>
          <w:sz w:val="21"/>
          <w:szCs w:val="21"/>
        </w:rPr>
        <w:t xml:space="preserve">obales Ernährungssystem – allen voran die industrielle Landwirtschaft und Fleischproduktion – ist für rund 37 Prozent der weltweiten Emissionen verantwortlich. </w:t>
      </w:r>
    </w:p>
    <w:p w:rsidR="00EC370E" w:rsidRDefault="008516BC">
      <w:pPr>
        <w:pStyle w:val="AntragText"/>
        <w:spacing w:after="240" w:line="360" w:lineRule="auto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Der Fleischkonsum hat sich in den letzten 60 Jahren mehr als verdoppelt, die Land-Flächen wurde</w:t>
      </w:r>
      <w:r>
        <w:rPr>
          <w:b w:val="0"/>
          <w:bCs w:val="0"/>
          <w:sz w:val="21"/>
          <w:szCs w:val="21"/>
        </w:rPr>
        <w:t>n in einer in der Geschichte der Menschen beispiellosen Geschwindigkeit in landwirtschaftliche Nutzflächen umgewandelt. Jedes Jahr verschwinden Tropenwälder von der Größe Sri Lankas, da der Mensch neue Anbauflächen für eine exportorientierte Agrarindustrie</w:t>
      </w:r>
      <w:r>
        <w:rPr>
          <w:b w:val="0"/>
          <w:bCs w:val="0"/>
          <w:sz w:val="21"/>
          <w:szCs w:val="21"/>
        </w:rPr>
        <w:t xml:space="preserve"> schafft. Gleichzeitig schwindet damit die Möglichkeit, große Mengen Kohlendioxid aufzunehmen. Im Amazonas-Regenwald und auch in der </w:t>
      </w:r>
      <w:proofErr w:type="spellStart"/>
      <w:r>
        <w:rPr>
          <w:b w:val="0"/>
          <w:bCs w:val="0"/>
          <w:sz w:val="21"/>
          <w:szCs w:val="21"/>
        </w:rPr>
        <w:t>Cerrado</w:t>
      </w:r>
      <w:proofErr w:type="spellEnd"/>
      <w:r>
        <w:rPr>
          <w:b w:val="0"/>
          <w:bCs w:val="0"/>
          <w:sz w:val="21"/>
          <w:szCs w:val="21"/>
        </w:rPr>
        <w:t>-Savanne im Südosten Brasiliens werden riesige Wälder vernichtet, die in der Regel zuerst als Weideland und anschlie</w:t>
      </w:r>
      <w:r>
        <w:rPr>
          <w:b w:val="0"/>
          <w:bCs w:val="0"/>
          <w:sz w:val="21"/>
          <w:szCs w:val="21"/>
        </w:rPr>
        <w:t>ßend als Sojafelder genutzt werden.</w:t>
      </w:r>
    </w:p>
    <w:p w:rsidR="00EC370E" w:rsidRDefault="008516BC">
      <w:pPr>
        <w:pStyle w:val="AntragText"/>
        <w:spacing w:line="360" w:lineRule="auto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Die industrielle Fleischproduktion ist durch eine steigende Nachfrage überall auf der Welt auf dem Vormarsch. Auf unseren Tellern landet oft billige, minderwertige Massenware. Für einen gesunden Planeten braucht es jedoc</w:t>
      </w:r>
      <w:r>
        <w:rPr>
          <w:b w:val="0"/>
          <w:bCs w:val="0"/>
          <w:sz w:val="21"/>
          <w:szCs w:val="21"/>
        </w:rPr>
        <w:t xml:space="preserve">h eine deutliche Reduktion des Fleischkonsums und der Nutztierhaltung. Diese wäre auch ein Hebel für mehr </w:t>
      </w:r>
      <w:proofErr w:type="spellStart"/>
      <w:r>
        <w:rPr>
          <w:b w:val="0"/>
          <w:bCs w:val="0"/>
          <w:sz w:val="21"/>
          <w:szCs w:val="21"/>
        </w:rPr>
        <w:t>Tierwohl</w:t>
      </w:r>
      <w:proofErr w:type="spellEnd"/>
      <w:r>
        <w:rPr>
          <w:b w:val="0"/>
          <w:bCs w:val="0"/>
          <w:sz w:val="21"/>
          <w:szCs w:val="21"/>
        </w:rPr>
        <w:t xml:space="preserve"> und für eine gesündere Ernährung. Gemäß der Österreichischen Gesellschaft für Ernährung sollten wir, um gesund zu bleiben, nicht mehr als dre</w:t>
      </w:r>
      <w:r>
        <w:rPr>
          <w:b w:val="0"/>
          <w:bCs w:val="0"/>
          <w:sz w:val="21"/>
          <w:szCs w:val="21"/>
        </w:rPr>
        <w:t>i Portionen von je 100 bis 150 Gramm Fleisch pro Woche konsumieren. Die Österreicherinnen und Österreicher essen im Schnitt rund 1,2 Kilo Fleisch pro Woche – also etwa das Dreifache.</w:t>
      </w:r>
    </w:p>
    <w:p w:rsidR="00EC370E" w:rsidRDefault="00EC370E">
      <w:pPr>
        <w:spacing w:line="360" w:lineRule="auto"/>
        <w:rPr>
          <w:rFonts w:ascii="FreeSans" w:hAnsi="FreeSans" w:cs="FreeSans"/>
          <w:sz w:val="21"/>
          <w:szCs w:val="21"/>
        </w:rPr>
      </w:pPr>
    </w:p>
    <w:p w:rsidR="00EC370E" w:rsidRDefault="008516BC">
      <w:pPr>
        <w:pStyle w:val="sp2txt"/>
        <w:spacing w:before="0" w:line="360" w:lineRule="auto"/>
        <w:rPr>
          <w:rFonts w:ascii="FreeSans" w:hAnsi="FreeSans"/>
          <w:sz w:val="22"/>
          <w:szCs w:val="22"/>
        </w:rPr>
      </w:pPr>
      <w:r>
        <w:rPr>
          <w:rFonts w:ascii="FreeSans" w:eastAsia="FreeSans" w:hAnsi="FreeSans" w:cs="FreeSans"/>
          <w:b/>
          <w:bCs/>
          <w:sz w:val="22"/>
          <w:szCs w:val="22"/>
        </w:rPr>
        <w:t>Die 173. Vollversammlung der Arbeiterkammer Wien möge daher beschließen</w:t>
      </w:r>
      <w:r>
        <w:rPr>
          <w:rFonts w:ascii="FreeSans" w:hAnsi="FreeSans"/>
          <w:b/>
          <w:bCs/>
          <w:sz w:val="22"/>
          <w:szCs w:val="22"/>
        </w:rPr>
        <w:t>:</w:t>
      </w:r>
    </w:p>
    <w:p w:rsidR="00EC370E" w:rsidRDefault="008516BC">
      <w:pPr>
        <w:pStyle w:val="sp2txt"/>
        <w:spacing w:before="0" w:after="120" w:line="360" w:lineRule="auto"/>
        <w:rPr>
          <w:rFonts w:ascii="FreeSans" w:hAnsi="FreeSans"/>
          <w:sz w:val="22"/>
          <w:szCs w:val="22"/>
        </w:rPr>
      </w:pPr>
      <w:r>
        <w:rPr>
          <w:rFonts w:ascii="FreeSans" w:eastAsia="FreeSans" w:hAnsi="FreeSans" w:cs="FreeSans"/>
          <w:b/>
          <w:bCs/>
          <w:sz w:val="22"/>
          <w:szCs w:val="22"/>
        </w:rPr>
        <w:t>Die Arbeiterkammer spricht sich dafür aus, dass</w:t>
      </w:r>
    </w:p>
    <w:p w:rsidR="00EC370E" w:rsidRDefault="008516BC">
      <w:pPr>
        <w:pStyle w:val="sp2txt"/>
        <w:numPr>
          <w:ilvl w:val="0"/>
          <w:numId w:val="1"/>
        </w:numPr>
        <w:spacing w:before="0" w:after="120" w:line="360" w:lineRule="auto"/>
        <w:ind w:left="714" w:hanging="357"/>
      </w:pPr>
      <w:r>
        <w:rPr>
          <w:rFonts w:ascii="FreeSans" w:eastAsia="FreeSans" w:hAnsi="FreeSans" w:cs="FreeSans"/>
          <w:b/>
          <w:bCs/>
          <w:sz w:val="22"/>
          <w:szCs w:val="22"/>
        </w:rPr>
        <w:t>in Einrichtungen der öffentlichen Hand der Fleisch-Anteil bei Speisen an den Empfehlungen der österreichischen Gesellschaft für Ernährung ausgerichtet und ggf. gesenkt wird,</w:t>
      </w:r>
    </w:p>
    <w:p w:rsidR="00EC370E" w:rsidRPr="008516BC" w:rsidRDefault="008516BC">
      <w:pPr>
        <w:pStyle w:val="sp2txt"/>
        <w:numPr>
          <w:ilvl w:val="0"/>
          <w:numId w:val="1"/>
        </w:numPr>
        <w:spacing w:before="0" w:after="120" w:line="360" w:lineRule="auto"/>
        <w:ind w:left="714" w:hanging="357"/>
      </w:pPr>
      <w:r>
        <w:rPr>
          <w:rFonts w:ascii="FreeSans" w:eastAsia="FreeSans" w:hAnsi="FreeSans" w:cs="FreeSans"/>
          <w:b/>
          <w:bCs/>
          <w:sz w:val="22"/>
          <w:szCs w:val="22"/>
        </w:rPr>
        <w:t>in der öffentlichen Beschaffung T</w:t>
      </w:r>
      <w:r>
        <w:rPr>
          <w:rFonts w:ascii="FreeSans" w:eastAsia="FreeSans" w:hAnsi="FreeSans" w:cs="FreeSans"/>
          <w:b/>
          <w:bCs/>
          <w:sz w:val="22"/>
          <w:szCs w:val="22"/>
        </w:rPr>
        <w:t xml:space="preserve">ierwohlkriterien stärker berücksichtigt werden, der Anteil an </w:t>
      </w:r>
      <w:r>
        <w:rPr>
          <w:rFonts w:ascii="FreeSans" w:eastAsia="FreeSans" w:hAnsi="FreeSans" w:cs="FreeSans"/>
          <w:b/>
          <w:bCs/>
          <w:sz w:val="22"/>
          <w:szCs w:val="22"/>
        </w:rPr>
        <w:lastRenderedPageBreak/>
        <w:t>tierischen Produkten, deren Produktion über dem gesetzlichen Tierwohl-Mindeststandard liegen, stetig ausz</w:t>
      </w:r>
      <w:bookmarkStart w:id="0" w:name="_GoBack"/>
      <w:bookmarkEnd w:id="0"/>
      <w:r>
        <w:rPr>
          <w:rFonts w:ascii="FreeSans" w:eastAsia="FreeSans" w:hAnsi="FreeSans" w:cs="FreeSans"/>
          <w:b/>
          <w:bCs/>
          <w:sz w:val="22"/>
          <w:szCs w:val="22"/>
        </w:rPr>
        <w:t>ubauen,</w:t>
      </w:r>
    </w:p>
    <w:p w:rsidR="008516BC" w:rsidRPr="002D0197" w:rsidRDefault="008516BC" w:rsidP="008516BC">
      <w:pPr>
        <w:pStyle w:val="sp2txt"/>
        <w:numPr>
          <w:ilvl w:val="0"/>
          <w:numId w:val="1"/>
        </w:numPr>
        <w:spacing w:before="0" w:after="120" w:line="360" w:lineRule="auto"/>
      </w:pPr>
      <w:r>
        <w:rPr>
          <w:rFonts w:ascii="FreeSans" w:eastAsia="FreeSans" w:hAnsi="FreeSans" w:cs="FreeSans"/>
          <w:b/>
          <w:bCs/>
          <w:sz w:val="22"/>
          <w:szCs w:val="22"/>
        </w:rPr>
        <w:t>ein Gütesiegel für Kantinen geschaffen wird, welches die Berücksichtigung von Tierwohlkriterien und der Empfehlungen der österreichischen Gesellschaft für Ernährung bestätigt,</w:t>
      </w:r>
    </w:p>
    <w:p w:rsidR="008516BC" w:rsidRDefault="008516BC" w:rsidP="008516BC">
      <w:pPr>
        <w:pStyle w:val="sp2txt"/>
        <w:numPr>
          <w:ilvl w:val="0"/>
          <w:numId w:val="1"/>
        </w:numPr>
        <w:spacing w:before="0" w:after="120" w:line="360" w:lineRule="auto"/>
      </w:pPr>
      <w:r w:rsidRPr="002D0197">
        <w:rPr>
          <w:rFonts w:ascii="FreeSans" w:eastAsia="FreeSans" w:hAnsi="FreeSans" w:cs="FreeSans"/>
          <w:b/>
          <w:bCs/>
          <w:sz w:val="22"/>
          <w:szCs w:val="22"/>
        </w:rPr>
        <w:t xml:space="preserve">zum Erhalt und Verlängerung dieses Gütesiegels eine Dokumentation über die Herkunft, die Haltungsform, die verwendeten Futtermittel, das </w:t>
      </w:r>
      <w:proofErr w:type="spellStart"/>
      <w:r w:rsidRPr="002D0197">
        <w:rPr>
          <w:rFonts w:ascii="FreeSans" w:eastAsia="FreeSans" w:hAnsi="FreeSans" w:cs="FreeSans"/>
          <w:b/>
          <w:bCs/>
          <w:sz w:val="22"/>
          <w:szCs w:val="22"/>
        </w:rPr>
        <w:t>Tierwohl</w:t>
      </w:r>
      <w:proofErr w:type="spellEnd"/>
      <w:r w:rsidRPr="002D0197">
        <w:rPr>
          <w:rFonts w:ascii="FreeSans" w:eastAsia="FreeSans" w:hAnsi="FreeSans" w:cs="FreeSans"/>
          <w:b/>
          <w:bCs/>
          <w:sz w:val="22"/>
          <w:szCs w:val="22"/>
        </w:rPr>
        <w:t xml:space="preserve"> sowie den Fleischanteil bei Speisen verpflichtend ist.</w:t>
      </w:r>
      <w:r>
        <w:rPr>
          <w:rFonts w:ascii="FreeSans" w:eastAsia="FreeSans" w:hAnsi="FreeSans" w:cs="FreeSans"/>
          <w:b/>
          <w:bCs/>
          <w:sz w:val="22"/>
          <w:szCs w:val="22"/>
        </w:rPr>
        <w:t xml:space="preserve"> </w:t>
      </w:r>
    </w:p>
    <w:sectPr w:rsidR="008516BC">
      <w:pgSz w:w="11906" w:h="16838"/>
      <w:pgMar w:top="1350" w:right="1134" w:bottom="128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eeSans">
    <w:altName w:val="Times New Roma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80258"/>
    <w:multiLevelType w:val="multilevel"/>
    <w:tmpl w:val="0C90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3E5E5355"/>
    <w:multiLevelType w:val="multilevel"/>
    <w:tmpl w:val="51AA42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DE00892"/>
    <w:multiLevelType w:val="multilevel"/>
    <w:tmpl w:val="0824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EC370E"/>
    <w:rsid w:val="008516BC"/>
    <w:rsid w:val="00EC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Hindi"/>
        <w:szCs w:val="24"/>
        <w:lang w:val="de-A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ascii="Times New Roman" w:eastAsia="Lucida Sans Unicode" w:hAnsi="Times New Roman" w:cs="Tahoma"/>
      <w:kern w:val="2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Antragberschrift">
    <w:name w:val="Antrag Überschrift"/>
    <w:basedOn w:val="Standard"/>
    <w:qFormat/>
    <w:rPr>
      <w:rFonts w:ascii="FreeSans" w:hAnsi="FreeSans" w:cs="FreeSans"/>
      <w:bCs/>
    </w:rPr>
  </w:style>
  <w:style w:type="paragraph" w:customStyle="1" w:styleId="AntragText">
    <w:name w:val="Antrag Text"/>
    <w:basedOn w:val="Antragberschrift"/>
    <w:qFormat/>
    <w:rPr>
      <w:b/>
    </w:rPr>
  </w:style>
  <w:style w:type="paragraph" w:customStyle="1" w:styleId="sp2txt">
    <w:name w:val="sp2txt"/>
    <w:basedOn w:val="Standard"/>
    <w:qFormat/>
    <w:pPr>
      <w:spacing w:before="280" w:after="280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1BD53936.dotm</Template>
  <TotalTime>0</TotalTime>
  <Pages>2</Pages>
  <Words>390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GIS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Braunsteiner</dc:creator>
  <cp:lastModifiedBy>Walter Braunsteiner</cp:lastModifiedBy>
  <cp:revision>2</cp:revision>
  <dcterms:created xsi:type="dcterms:W3CDTF">2020-02-05T11:07:00Z</dcterms:created>
  <dcterms:modified xsi:type="dcterms:W3CDTF">2020-02-05T11:07:00Z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