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ACE05" w14:textId="2C345712" w:rsidR="00EF2C65" w:rsidRPr="00F00B15" w:rsidRDefault="006A0E63">
      <w:pPr>
        <w:rPr>
          <w:b/>
          <w:bCs/>
        </w:rPr>
      </w:pPr>
      <w:r w:rsidRPr="00F00B15">
        <w:rPr>
          <w:b/>
          <w:bCs/>
        </w:rPr>
        <w:t xml:space="preserve">Antrag auf Aufnahme des Diskriminierungsgrundes „sozialer Status“ in die </w:t>
      </w:r>
      <w:r w:rsidR="006D2AC2" w:rsidRPr="00F00B15">
        <w:rPr>
          <w:b/>
          <w:bCs/>
        </w:rPr>
        <w:t xml:space="preserve">österreichischen </w:t>
      </w:r>
      <w:r w:rsidRPr="00F00B15">
        <w:rPr>
          <w:b/>
          <w:bCs/>
        </w:rPr>
        <w:t>Antidiskriminierungsgesetze</w:t>
      </w:r>
    </w:p>
    <w:p w14:paraId="58197DCF" w14:textId="74B97629" w:rsidR="006A0E63" w:rsidRDefault="003279E2">
      <w:r>
        <w:t xml:space="preserve">von </w:t>
      </w:r>
      <w:r w:rsidR="006A0E63">
        <w:t>Marion Polaschek,</w:t>
      </w:r>
      <w:r>
        <w:t xml:space="preserve"> Universität Wien,</w:t>
      </w:r>
      <w:r w:rsidR="006A0E63">
        <w:t xml:space="preserve"> AUGE/UG</w:t>
      </w:r>
    </w:p>
    <w:p w14:paraId="5D4CB544" w14:textId="27BD155A" w:rsidR="00944449" w:rsidRPr="00944449" w:rsidRDefault="00944449" w:rsidP="00EA58A5">
      <w:pPr>
        <w:rPr>
          <w:b/>
          <w:bCs/>
        </w:rPr>
      </w:pPr>
      <w:r w:rsidRPr="00944449">
        <w:rPr>
          <w:b/>
          <w:bCs/>
        </w:rPr>
        <w:t>Einleitend</w:t>
      </w:r>
    </w:p>
    <w:p w14:paraId="6634D7FD" w14:textId="6C835DB1" w:rsidR="00B44B97" w:rsidRDefault="00B44B97" w:rsidP="00B44B97">
      <w:r>
        <w:t xml:space="preserve">Die </w:t>
      </w:r>
      <w:r w:rsidRPr="00944449">
        <w:t xml:space="preserve">Diskriminierung nach </w:t>
      </w:r>
      <w:r>
        <w:t>„</w:t>
      </w:r>
      <w:r w:rsidRPr="00944449">
        <w:t>sozialem Status</w:t>
      </w:r>
      <w:r>
        <w:t>“ oder „sozialer Herkunft“</w:t>
      </w:r>
      <w:r w:rsidR="00BA610B">
        <w:t xml:space="preserve"> oder auch „</w:t>
      </w:r>
      <w:proofErr w:type="spellStart"/>
      <w:r w:rsidR="00BA610B">
        <w:t>Klassismus</w:t>
      </w:r>
      <w:proofErr w:type="spellEnd"/>
      <w:r w:rsidR="00BA610B">
        <w:t>“</w:t>
      </w:r>
      <w:r w:rsidRPr="00944449">
        <w:t xml:space="preserve">, </w:t>
      </w:r>
      <w:r>
        <w:t>meint den</w:t>
      </w:r>
      <w:r w:rsidRPr="00944449">
        <w:t xml:space="preserve"> Ausschluss</w:t>
      </w:r>
      <w:r>
        <w:t xml:space="preserve"> </w:t>
      </w:r>
      <w:r w:rsidRPr="00944449">
        <w:t>von Menschen von Rechten und Ressourcen</w:t>
      </w:r>
      <w:r>
        <w:t xml:space="preserve"> aufgrund ihres sozioökonomischen Status (arm/reich), des vorhandenen Bildungskapitals (bildungsnah/bildungsfern) und auch ihrer Klassenzugehörigkeit (Unter-/Mittel-</w:t>
      </w:r>
      <w:r w:rsidR="00BA610B">
        <w:t>/</w:t>
      </w:r>
      <w:r>
        <w:t>Oberschicht).</w:t>
      </w:r>
      <w:r w:rsidRPr="00B44B97">
        <w:rPr>
          <w:rStyle w:val="Funotenzeichen"/>
        </w:rPr>
        <w:t xml:space="preserve"> </w:t>
      </w:r>
      <w:r>
        <w:rPr>
          <w:rStyle w:val="Funotenzeichen"/>
        </w:rPr>
        <w:footnoteReference w:id="1"/>
      </w:r>
    </w:p>
    <w:p w14:paraId="75B7E7E2" w14:textId="4C73BA6C" w:rsidR="00EA58A5" w:rsidRPr="00944449" w:rsidRDefault="00EA58A5" w:rsidP="00EA58A5">
      <w:r w:rsidRPr="00944449">
        <w:t>Zwei Beispie</w:t>
      </w:r>
      <w:r w:rsidR="00FE536D">
        <w:t>le zur Veranschaulichung</w:t>
      </w:r>
      <w:r w:rsidRPr="00944449">
        <w:t>:</w:t>
      </w:r>
      <w:r w:rsidRPr="00944449">
        <w:rPr>
          <w:rStyle w:val="Funotenzeichen"/>
        </w:rPr>
        <w:footnoteReference w:id="2"/>
      </w:r>
    </w:p>
    <w:p w14:paraId="2B47BD04" w14:textId="77777777" w:rsidR="00EA58A5" w:rsidRPr="00944449" w:rsidRDefault="00EA58A5" w:rsidP="00EA58A5">
      <w:r w:rsidRPr="00944449">
        <w:t>„</w:t>
      </w:r>
      <w:r w:rsidRPr="00944449">
        <w:rPr>
          <w:i/>
          <w:iCs/>
        </w:rPr>
        <w:t xml:space="preserve">Ein Kind sozial schwacher Eltern erhält in der Schule nicht das gleiche Ausmaß an Förderung durch die </w:t>
      </w:r>
      <w:proofErr w:type="spellStart"/>
      <w:r w:rsidRPr="00944449">
        <w:rPr>
          <w:i/>
          <w:iCs/>
        </w:rPr>
        <w:t>LehrerInnen</w:t>
      </w:r>
      <w:proofErr w:type="spellEnd"/>
      <w:r w:rsidRPr="00944449">
        <w:rPr>
          <w:i/>
          <w:iCs/>
        </w:rPr>
        <w:t xml:space="preserve"> wie ein Kind vermögender Eltern, weil die </w:t>
      </w:r>
      <w:proofErr w:type="spellStart"/>
      <w:r w:rsidRPr="00944449">
        <w:rPr>
          <w:i/>
          <w:iCs/>
        </w:rPr>
        <w:t>LehrerInnen</w:t>
      </w:r>
      <w:proofErr w:type="spellEnd"/>
      <w:r w:rsidRPr="00944449">
        <w:rPr>
          <w:i/>
          <w:iCs/>
        </w:rPr>
        <w:t xml:space="preserve"> davon ausgehen, dass das Kind keine förderwürdigen Perspektiven hat.</w:t>
      </w:r>
      <w:r w:rsidRPr="00944449">
        <w:t>“</w:t>
      </w:r>
    </w:p>
    <w:p w14:paraId="7A2B1C4A" w14:textId="77777777" w:rsidR="00EA58A5" w:rsidRPr="00944449" w:rsidRDefault="00EA58A5" w:rsidP="00EA58A5">
      <w:r w:rsidRPr="00944449">
        <w:t>„</w:t>
      </w:r>
      <w:r w:rsidRPr="00944449">
        <w:rPr>
          <w:i/>
          <w:iCs/>
        </w:rPr>
        <w:t xml:space="preserve">In einem Kurs für </w:t>
      </w:r>
      <w:proofErr w:type="spellStart"/>
      <w:r w:rsidRPr="00944449">
        <w:rPr>
          <w:i/>
          <w:iCs/>
        </w:rPr>
        <w:t>erwachsene</w:t>
      </w:r>
      <w:proofErr w:type="spellEnd"/>
      <w:r w:rsidRPr="00944449">
        <w:rPr>
          <w:i/>
          <w:iCs/>
        </w:rPr>
        <w:t xml:space="preserve"> Arbeitsuchende erhält ein langzeitarbeitsloser Mann mit Hauptschulabschluss und Erfahrung als Metallhelfer eine(sic!) geringeres Ausmaß an Betreuung durch den/die </w:t>
      </w:r>
      <w:proofErr w:type="spellStart"/>
      <w:r w:rsidRPr="00944449">
        <w:rPr>
          <w:i/>
          <w:iCs/>
        </w:rPr>
        <w:t>KursleiterIn</w:t>
      </w:r>
      <w:proofErr w:type="spellEnd"/>
      <w:r w:rsidRPr="00944449">
        <w:rPr>
          <w:i/>
          <w:iCs/>
        </w:rPr>
        <w:t xml:space="preserve"> als die arbeitslose Frau mit akademischem Abschluss und Erfahrung als Sozialpädagogin.</w:t>
      </w:r>
      <w:r w:rsidRPr="00944449">
        <w:t>“</w:t>
      </w:r>
    </w:p>
    <w:p w14:paraId="4A8B8E00" w14:textId="39D2DA41" w:rsidR="00C80372" w:rsidRPr="00F00B15" w:rsidRDefault="00C80372">
      <w:pPr>
        <w:rPr>
          <w:b/>
          <w:bCs/>
        </w:rPr>
      </w:pPr>
      <w:r>
        <w:rPr>
          <w:b/>
          <w:bCs/>
        </w:rPr>
        <w:t>Rechtlicher Rahmen</w:t>
      </w:r>
    </w:p>
    <w:p w14:paraId="7A7FA0C2" w14:textId="597814C4" w:rsidR="002508F1" w:rsidRDefault="002508F1" w:rsidP="002508F1">
      <w:r>
        <w:t xml:space="preserve">Der Diskriminierungsgrund „soziale Herkunft“ oder auch „sozialer Status“ findet sich </w:t>
      </w:r>
      <w:r w:rsidR="00E00BF0">
        <w:t xml:space="preserve">seit 1948 in der Allgemeinen Erklärung der Menschenrechte und </w:t>
      </w:r>
      <w:r>
        <w:t xml:space="preserve">in zahlreichen internationalen Abkommen </w:t>
      </w:r>
      <w:r w:rsidR="00E00BF0">
        <w:t>sowie</w:t>
      </w:r>
      <w:r>
        <w:t xml:space="preserve"> europäischen Übereinkünften</w:t>
      </w:r>
      <w:r>
        <w:rPr>
          <w:rStyle w:val="Funotenzeichen"/>
        </w:rPr>
        <w:footnoteReference w:id="3"/>
      </w:r>
      <w:r>
        <w:t>.</w:t>
      </w:r>
    </w:p>
    <w:p w14:paraId="0D4735AE" w14:textId="77777777" w:rsidR="002508F1" w:rsidRDefault="002508F1" w:rsidP="002508F1">
      <w:r>
        <w:t>Abgeleitet aus den EU Verträgen sind derzeit 4 EU Richtlinien zur Antidiskriminierung in Kraft, die von den EU Mitgliedstaaten als Mindesterfordernisse ratifiziert werden müssen.</w:t>
      </w:r>
      <w:r>
        <w:rPr>
          <w:rStyle w:val="Funotenzeichen"/>
        </w:rPr>
        <w:footnoteReference w:id="4"/>
      </w:r>
      <w:r>
        <w:t xml:space="preserve"> In diesen Richtlinien sind folgende Diskriminierungsgründe, nicht alle in allen Zusammenhängen wie etwa Arbeitsumfeld, oder den Zugang zu Gütern und Dienstleistungen erfasst: Rasse oder ethnische Herkunft, </w:t>
      </w:r>
      <w:r w:rsidRPr="00B174CE">
        <w:t>Religion oder Weltanschauung, Behinderung, Alter oder der sexuellen Ausrichtung</w:t>
      </w:r>
      <w:r>
        <w:t xml:space="preserve"> und Geschlecht. Ein Diskriminierungsverbot in Bezug auf den sozialen Status oder die soziale Herkunft hat bisher keinen </w:t>
      </w:r>
      <w:r>
        <w:lastRenderedPageBreak/>
        <w:t>Einzug in eine Richtlinie gehalten und somit gibt es auch keine Verpflichtung für die nationalen Gesetzgeber*innen diese Diversitätsdimension in ihren Normen festzuschreiben.</w:t>
      </w:r>
    </w:p>
    <w:p w14:paraId="7FE309C8" w14:textId="77777777" w:rsidR="002508F1" w:rsidRDefault="002508F1" w:rsidP="002508F1">
      <w:r>
        <w:t>Es gibt allerdings nationale Gesetzgebungen, vor allen in Osteuropa, den baltischen Staaten und auch Spanien, die Diskriminierungsverbote aufgrund sozialer Herkunft kennen.</w:t>
      </w:r>
      <w:r>
        <w:rPr>
          <w:rStyle w:val="Funotenzeichen"/>
        </w:rPr>
        <w:footnoteReference w:id="5"/>
      </w:r>
      <w:r>
        <w:t xml:space="preserve"> </w:t>
      </w:r>
    </w:p>
    <w:p w14:paraId="43FB38FD" w14:textId="77777777" w:rsidR="002508F1" w:rsidRDefault="002508F1" w:rsidP="002508F1">
      <w:r>
        <w:t>In Österreich ist der Diskriminierungsgrund „soziale Herkunft“ oder „sozialer Status“ in keinem einschlägigen Gesetz genannt.</w:t>
      </w:r>
      <w:r>
        <w:rPr>
          <w:rStyle w:val="Funotenzeichen"/>
        </w:rPr>
        <w:footnoteReference w:id="6"/>
      </w:r>
      <w:r>
        <w:t xml:space="preserve"> </w:t>
      </w:r>
    </w:p>
    <w:p w14:paraId="033F4432" w14:textId="0FA2106B" w:rsidR="00C80372" w:rsidRPr="00C80372" w:rsidRDefault="00C80372">
      <w:pPr>
        <w:rPr>
          <w:b/>
          <w:bCs/>
        </w:rPr>
      </w:pPr>
      <w:r w:rsidRPr="00C80372">
        <w:rPr>
          <w:b/>
          <w:bCs/>
        </w:rPr>
        <w:t>Studien, Interpretationen und Fakten</w:t>
      </w:r>
    </w:p>
    <w:p w14:paraId="1A702EF8" w14:textId="690BC2DB" w:rsidR="002508F1" w:rsidRDefault="002508F1">
      <w:r>
        <w:t>Immer wieder beschäftigen sich Forschungsarbeiten mit dem Thema inwiefern sich der soziale Status in Diskriminierungserfahrungen niederschlägt.</w:t>
      </w:r>
    </w:p>
    <w:p w14:paraId="7B5D35FB" w14:textId="66410FCF" w:rsidR="002508F1" w:rsidRDefault="00941D31">
      <w:r>
        <w:t xml:space="preserve">Erst 2010 wurde von </w:t>
      </w:r>
      <w:r w:rsidR="00C621CD">
        <w:t xml:space="preserve">Martina Benecke </w:t>
      </w:r>
      <w:r>
        <w:t xml:space="preserve">noch </w:t>
      </w:r>
      <w:r w:rsidR="00C621CD">
        <w:t xml:space="preserve">nach einem Vergleich der europäischen Antidiskriminierungsgesetze </w:t>
      </w:r>
      <w:r>
        <w:t xml:space="preserve">für die bundesdeutsche Antidiskriminierungsstelle </w:t>
      </w:r>
      <w:r w:rsidR="00C621CD">
        <w:t>optimistisch festgestellt, dass „</w:t>
      </w:r>
      <w:r w:rsidR="00C621CD" w:rsidRPr="00C621CD">
        <w:rPr>
          <w:i/>
          <w:iCs/>
        </w:rPr>
        <w:t>nur noch wenige Defizite</w:t>
      </w:r>
      <w:r w:rsidR="00C621CD">
        <w:t>“ bestünden</w:t>
      </w:r>
      <w:r w:rsidR="00C621CD">
        <w:rPr>
          <w:rStyle w:val="Funotenzeichen"/>
        </w:rPr>
        <w:footnoteReference w:id="7"/>
      </w:r>
      <w:r w:rsidR="00C621CD">
        <w:t xml:space="preserve"> und die </w:t>
      </w:r>
      <w:r w:rsidR="00926E7B">
        <w:t xml:space="preserve">nationalen </w:t>
      </w:r>
      <w:r w:rsidR="00C621CD">
        <w:t xml:space="preserve">Unterschiede in der Abbildung von </w:t>
      </w:r>
      <w:proofErr w:type="spellStart"/>
      <w:r w:rsidR="00C621CD">
        <w:t>klassistischer</w:t>
      </w:r>
      <w:proofErr w:type="spellEnd"/>
      <w:r w:rsidR="00C621CD">
        <w:t xml:space="preserve"> Diskrimin</w:t>
      </w:r>
      <w:r w:rsidR="00926E7B">
        <w:t>i</w:t>
      </w:r>
      <w:r w:rsidR="00C621CD">
        <w:t xml:space="preserve">erung </w:t>
      </w:r>
      <w:r w:rsidR="00926E7B">
        <w:t>möglicherweise dem Umstand geschuldet sei, dass die Länder in denen die Diskriminierung aufgrund sozialem Status strafbar ist, eine sozialistische Vergangenheit haben</w:t>
      </w:r>
      <w:r w:rsidR="00926E7B">
        <w:rPr>
          <w:rStyle w:val="Funotenzeichen"/>
        </w:rPr>
        <w:footnoteReference w:id="8"/>
      </w:r>
      <w:r>
        <w:t>. Auch sah die Autorin keinen besonderen praktischen Nutzen für einen derartigen Diskriminierungsgrund im Arbeitsrecht, weil die Arbeitgeber*innen kein Interesse am wirtschaftlichen Hintergrund ihrer Arbeitnehmer*innen hätten und gleichzeitig eine Gefahr für die freie Wirtschaftsordnung, würde womöglich die Feststellung der Zahlungsfähigkeit durch Geltendmachung von derartigen Diskriminierungsgründen strafbar.</w:t>
      </w:r>
      <w:r>
        <w:rPr>
          <w:rStyle w:val="Funotenzeichen"/>
        </w:rPr>
        <w:footnoteReference w:id="9"/>
      </w:r>
    </w:p>
    <w:p w14:paraId="53BFDE6A" w14:textId="5779CACB" w:rsidR="00FA00E4" w:rsidRDefault="00FA00E4" w:rsidP="00162BE9">
      <w:r>
        <w:t xml:space="preserve">Allerdings gibt die bundesdeutsche Antidiskriminierungsstelle bereits 2013 eine Meldung über eine Studie </w:t>
      </w:r>
      <w:r w:rsidRPr="00FA00E4">
        <w:t>Instituts für Arbeit und Qualifikation der Universität Duisburg-Essen</w:t>
      </w:r>
      <w:r>
        <w:t xml:space="preserve"> heraus, die deutlich zeigt, dass die soziale Herkunft einen weitaus größeren Einfluss auf Erwerb von Sprachkompetenz im Vorschulalter hat, als beispielsweise Migrationshintergrund oder eine nichtdeutsche Zweitsprache in der Familie.</w:t>
      </w:r>
      <w:r>
        <w:rPr>
          <w:rStyle w:val="Funotenzeichen"/>
        </w:rPr>
        <w:footnoteReference w:id="10"/>
      </w:r>
      <w:r w:rsidR="00B740DD">
        <w:br/>
        <w:t>Und ebenfalls 2013 zeigt</w:t>
      </w:r>
      <w:r w:rsidR="00797B0E">
        <w:t>e</w:t>
      </w:r>
      <w:r w:rsidR="00B740DD">
        <w:t xml:space="preserve"> eine Studie über den gesamten </w:t>
      </w:r>
      <w:r w:rsidR="00162BE9">
        <w:t xml:space="preserve">deutschen </w:t>
      </w:r>
      <w:r w:rsidR="00B740DD">
        <w:t>Bildungsbereich, dass</w:t>
      </w:r>
      <w:r w:rsidR="00162BE9">
        <w:t xml:space="preserve"> die „soziale Herkunft</w:t>
      </w:r>
      <w:r w:rsidR="00797B0E">
        <w:t>“</w:t>
      </w:r>
      <w:r w:rsidR="00162BE9">
        <w:t>, neben und gemeinsam mit den gesetzlich geschützten Diskriminierungsmerkmalen</w:t>
      </w:r>
      <w:r w:rsidR="00797B0E">
        <w:t>,</w:t>
      </w:r>
      <w:r w:rsidR="00162BE9">
        <w:t xml:space="preserve"> maßgeblich für die Entwicklung von Bildungsbiografien ist.</w:t>
      </w:r>
      <w:r w:rsidR="00B740DD">
        <w:rPr>
          <w:rStyle w:val="Funotenzeichen"/>
        </w:rPr>
        <w:footnoteReference w:id="11"/>
      </w:r>
    </w:p>
    <w:p w14:paraId="32762059" w14:textId="5FABB04E" w:rsidR="000B6B36" w:rsidRDefault="000B6B36" w:rsidP="00162BE9">
      <w:r>
        <w:t>Der zweite gemeinsamer Bericht der</w:t>
      </w:r>
      <w:r w:rsidR="009F0FB0">
        <w:t xml:space="preserve"> deutschen</w:t>
      </w:r>
      <w:r>
        <w:t xml:space="preserve"> Antidiskriminierungsstelle des Bundes „Diskriminierung im Bildungsbereich und im Arbeitsleben“ sieht im Zusammenhang mit dem </w:t>
      </w:r>
      <w:r>
        <w:lastRenderedPageBreak/>
        <w:t xml:space="preserve">Merkmal „soziale Herkunft“ </w:t>
      </w:r>
      <w:r w:rsidR="004120E7">
        <w:t xml:space="preserve">(sehr oft in Kombination mit dem Merkmal „ethnische Herkunft“) </w:t>
      </w:r>
      <w:r w:rsidR="00784101">
        <w:t>die Chancengleichheit in folgenden Bereichen nicht oder nicht ausreichend gegeben</w:t>
      </w:r>
      <w:r>
        <w:t>:</w:t>
      </w:r>
      <w:r w:rsidR="009F0FB0">
        <w:rPr>
          <w:rStyle w:val="Funotenzeichen"/>
        </w:rPr>
        <w:footnoteReference w:id="12"/>
      </w:r>
    </w:p>
    <w:p w14:paraId="7FF9A1FE" w14:textId="5997AA63" w:rsidR="009F0FB0" w:rsidRDefault="009F0FB0" w:rsidP="009F0FB0">
      <w:pPr>
        <w:pStyle w:val="Listenabsatz"/>
        <w:numPr>
          <w:ilvl w:val="0"/>
          <w:numId w:val="3"/>
        </w:numPr>
      </w:pPr>
      <w:r>
        <w:t xml:space="preserve">Beim </w:t>
      </w:r>
      <w:r w:rsidR="00491F4C">
        <w:t>Zugang zu Kindertagesbe</w:t>
      </w:r>
      <w:r>
        <w:t>treuung</w:t>
      </w:r>
      <w:r w:rsidR="00491F4C">
        <w:t xml:space="preserve"> aufgrund Informationsdefiziten und fehlenden Unterstützungsangeboten</w:t>
      </w:r>
      <w:r>
        <w:t xml:space="preserve"> </w:t>
      </w:r>
    </w:p>
    <w:p w14:paraId="26C888D5" w14:textId="25C7938C" w:rsidR="009F0FB0" w:rsidRDefault="009F0FB0" w:rsidP="009F0FB0">
      <w:pPr>
        <w:pStyle w:val="Listenabsatz"/>
        <w:numPr>
          <w:ilvl w:val="0"/>
          <w:numId w:val="3"/>
        </w:numPr>
      </w:pPr>
      <w:r>
        <w:t xml:space="preserve">Bei der passenden und gelingenden schulischen Inklusion von behinderten Kindern </w:t>
      </w:r>
      <w:r w:rsidR="00491F4C">
        <w:t xml:space="preserve">aufgrund von Informationsdefiziten </w:t>
      </w:r>
      <w:proofErr w:type="spellStart"/>
      <w:r w:rsidR="00491F4C">
        <w:t>im</w:t>
      </w:r>
      <w:proofErr w:type="spellEnd"/>
      <w:r w:rsidR="00491F4C">
        <w:t xml:space="preserve"> Bezug auf Durchsetzungsmöglichkeiten</w:t>
      </w:r>
    </w:p>
    <w:p w14:paraId="13C807AD" w14:textId="19885118" w:rsidR="00784101" w:rsidRDefault="00784101" w:rsidP="000B6B36">
      <w:pPr>
        <w:pStyle w:val="Listenabsatz"/>
        <w:numPr>
          <w:ilvl w:val="0"/>
          <w:numId w:val="3"/>
        </w:numPr>
      </w:pPr>
      <w:r>
        <w:t>Bei der neutralen Notengebung und weiteren Leistungsbewertung aufgrund der Namen der Kinder</w:t>
      </w:r>
      <w:r w:rsidR="004120E7">
        <w:t xml:space="preserve"> oder der Häufigkeit des Besuchs von Elternabenden</w:t>
      </w:r>
      <w:r>
        <w:t xml:space="preserve"> </w:t>
      </w:r>
    </w:p>
    <w:p w14:paraId="242487F4" w14:textId="10A2C659" w:rsidR="00784101" w:rsidRDefault="00784101" w:rsidP="00571322">
      <w:pPr>
        <w:pStyle w:val="Listenabsatz"/>
        <w:numPr>
          <w:ilvl w:val="0"/>
          <w:numId w:val="3"/>
        </w:numPr>
      </w:pPr>
      <w:r>
        <w:t xml:space="preserve">Bei der Chancengleichheit bei Zugang zu höherer Bildung aufgrund von finanziellen </w:t>
      </w:r>
      <w:r w:rsidR="009F0FB0">
        <w:t>Situation</w:t>
      </w:r>
      <w:r>
        <w:t xml:space="preserve"> der Herkunftsfamilien, fehlender akademischer</w:t>
      </w:r>
      <w:r w:rsidR="009F0FB0">
        <w:t xml:space="preserve"> Vertrautheit</w:t>
      </w:r>
      <w:r>
        <w:t xml:space="preserve"> und </w:t>
      </w:r>
      <w:r w:rsidR="009F0FB0">
        <w:t xml:space="preserve">fehlende </w:t>
      </w:r>
      <w:r>
        <w:t xml:space="preserve">beruflicher Kontakte </w:t>
      </w:r>
    </w:p>
    <w:p w14:paraId="14753394" w14:textId="77777777" w:rsidR="009F0FB0" w:rsidRDefault="00784101" w:rsidP="009F0FB0">
      <w:pPr>
        <w:pStyle w:val="Listenabsatz"/>
        <w:numPr>
          <w:ilvl w:val="0"/>
          <w:numId w:val="3"/>
        </w:numPr>
      </w:pPr>
      <w:r>
        <w:t xml:space="preserve">Beim Übergang zwischen Schule und Ausbildung und Zugang zum Arbeitsmarkt, wenn unbegründete Befürchtungen in Bezug auf Leistungsmotivation oder Zuverlässigkeit gegen die </w:t>
      </w:r>
      <w:r w:rsidR="004120E7">
        <w:t>Betroffenen</w:t>
      </w:r>
      <w:r>
        <w:t xml:space="preserve"> ins Treffen </w:t>
      </w:r>
      <w:r w:rsidR="009F0FB0">
        <w:t>geführt werden.</w:t>
      </w:r>
    </w:p>
    <w:p w14:paraId="42F0D4D3" w14:textId="52B9059E" w:rsidR="00784101" w:rsidRDefault="009F0FB0" w:rsidP="009F0FB0">
      <w:pPr>
        <w:pStyle w:val="Listenabsatz"/>
        <w:numPr>
          <w:ilvl w:val="0"/>
          <w:numId w:val="3"/>
        </w:numPr>
      </w:pPr>
      <w:r>
        <w:t xml:space="preserve">Im Betrieb bei Personalentscheidungen und Teilnahme an </w:t>
      </w:r>
      <w:r w:rsidR="00A07C5C">
        <w:t>Qualifizierungsmaßnahmen</w:t>
      </w:r>
      <w:r w:rsidR="00491F4C">
        <w:t xml:space="preserve"> aufgrund von Vorbehalten und fehlenden </w:t>
      </w:r>
      <w:proofErr w:type="spellStart"/>
      <w:r w:rsidR="00491F4C">
        <w:t>Policies</w:t>
      </w:r>
      <w:proofErr w:type="spellEnd"/>
    </w:p>
    <w:p w14:paraId="03537D9E" w14:textId="0542081C" w:rsidR="000354EF" w:rsidRDefault="005A5CF5">
      <w:r>
        <w:t>Im</w:t>
      </w:r>
      <w:r w:rsidR="00793F4A">
        <w:t xml:space="preserve"> Endbericht der </w:t>
      </w:r>
      <w:proofErr w:type="spellStart"/>
      <w:r w:rsidR="000354EF">
        <w:t>Sora</w:t>
      </w:r>
      <w:proofErr w:type="spellEnd"/>
      <w:r w:rsidR="000354EF">
        <w:t>-</w:t>
      </w:r>
      <w:r w:rsidR="00793F4A">
        <w:t xml:space="preserve">Studie „Diskriminierungserfahrungen in Österreich“ </w:t>
      </w:r>
      <w:r w:rsidR="000354EF">
        <w:t>im Auftrag der AK Wien</w:t>
      </w:r>
      <w:r>
        <w:t xml:space="preserve"> zeichnet </w:t>
      </w:r>
      <w:r w:rsidR="00162BE9">
        <w:t>ein vergleichbares</w:t>
      </w:r>
      <w:r>
        <w:t xml:space="preserve"> Bild</w:t>
      </w:r>
      <w:r w:rsidR="00162BE9">
        <w:t xml:space="preserve"> in so gut wie allen Bereichen (Arbeit, Wohnen, Gesundheit, Bildung)</w:t>
      </w:r>
      <w:r>
        <w:t>. So</w:t>
      </w:r>
      <w:r w:rsidR="000354EF">
        <w:t xml:space="preserve"> </w:t>
      </w:r>
      <w:r w:rsidR="00793F4A">
        <w:t xml:space="preserve">wiesen die Autor*innen anhand repräsentativer Daten nach, dass ein Großteil der Befragten subjektive Diskriminierungserfahrungen aus </w:t>
      </w:r>
      <w:r w:rsidR="000354EF">
        <w:t>Gründen</w:t>
      </w:r>
      <w:r w:rsidR="00793F4A">
        <w:t xml:space="preserve"> ang</w:t>
      </w:r>
      <w:r w:rsidR="000354EF">
        <w:t>a</w:t>
      </w:r>
      <w:r w:rsidR="00793F4A">
        <w:t>ben, die derzeit gesetzlich nicht verankert sind</w:t>
      </w:r>
      <w:r w:rsidR="000354EF">
        <w:t xml:space="preserve">, darunter auch die Benachteiligung </w:t>
      </w:r>
      <w:r w:rsidR="00162BE9">
        <w:t>aufgrund der</w:t>
      </w:r>
      <w:r w:rsidR="000354EF">
        <w:t xml:space="preserve"> </w:t>
      </w:r>
      <w:r w:rsidR="00162BE9">
        <w:t>„</w:t>
      </w:r>
      <w:r w:rsidR="000354EF">
        <w:t>sozialen Herkunft</w:t>
      </w:r>
      <w:r w:rsidR="00162BE9">
        <w:t>“</w:t>
      </w:r>
      <w:r w:rsidR="000354EF">
        <w:t xml:space="preserve"> und der Stellung in der Gesellschaft.</w:t>
      </w:r>
      <w:r w:rsidR="00793F4A">
        <w:rPr>
          <w:rStyle w:val="Funotenzeichen"/>
        </w:rPr>
        <w:footnoteReference w:id="13"/>
      </w:r>
    </w:p>
    <w:p w14:paraId="31E8E7CA" w14:textId="3D43429F" w:rsidR="005D09DB" w:rsidRDefault="000354EF" w:rsidP="000354EF">
      <w:r>
        <w:t xml:space="preserve">Die Autor*innen der </w:t>
      </w:r>
      <w:proofErr w:type="spellStart"/>
      <w:r>
        <w:t>Sora</w:t>
      </w:r>
      <w:proofErr w:type="spellEnd"/>
      <w:r w:rsidR="003E4B20">
        <w:t xml:space="preserve"> </w:t>
      </w:r>
      <w:r>
        <w:t>Studie leiten aus der Häufigkeit der Nennung</w:t>
      </w:r>
      <w:r w:rsidR="00DA7F08">
        <w:t xml:space="preserve"> - </w:t>
      </w:r>
      <w:r>
        <w:t>zwischen 20 und 30% meinen „nur</w:t>
      </w:r>
      <w:r w:rsidR="00DA7F08">
        <w:t>“</w:t>
      </w:r>
      <w:r>
        <w:t xml:space="preserve"> oder </w:t>
      </w:r>
      <w:r w:rsidR="00DA7F08">
        <w:t>„</w:t>
      </w:r>
      <w:r>
        <w:t>auch</w:t>
      </w:r>
      <w:r w:rsidR="00DA7F08">
        <w:t>“</w:t>
      </w:r>
      <w:r>
        <w:t xml:space="preserve"> von </w:t>
      </w:r>
      <w:proofErr w:type="spellStart"/>
      <w:r>
        <w:t>klassistischer</w:t>
      </w:r>
      <w:proofErr w:type="spellEnd"/>
      <w:r>
        <w:t xml:space="preserve"> Diskriminierungserfahrung betroffen zu sein</w:t>
      </w:r>
      <w:r w:rsidR="00DA7F08">
        <w:t xml:space="preserve"> -, ab, dass es dringend geboten sei, Angebote zu schaffen, damit sich die Betroffenen zur Wehr setzen könnten.</w:t>
      </w:r>
      <w:r w:rsidR="00DA7F08">
        <w:rPr>
          <w:rStyle w:val="Funotenzeichen"/>
        </w:rPr>
        <w:footnoteReference w:id="14"/>
      </w:r>
      <w:r>
        <w:t xml:space="preserve">  </w:t>
      </w:r>
      <w:r w:rsidR="00DA7F08">
        <w:t>Welche Indikatoren allerdings nützlich sein könnten</w:t>
      </w:r>
      <w:r w:rsidR="00AB50EC">
        <w:t>,</w:t>
      </w:r>
      <w:r w:rsidR="00DA7F08">
        <w:t xml:space="preserve"> um den Diskrimi</w:t>
      </w:r>
      <w:r w:rsidR="005F4203">
        <w:t>ni</w:t>
      </w:r>
      <w:r w:rsidR="00DA7F08">
        <w:t xml:space="preserve">erungsschutz in diesem Sinn auszuweiten, </w:t>
      </w:r>
      <w:r w:rsidR="005D09DB">
        <w:t>muss also dringend erarbeitet werden</w:t>
      </w:r>
      <w:r w:rsidR="00DA7F08">
        <w:t>.</w:t>
      </w:r>
      <w:r w:rsidR="00DA7F08">
        <w:rPr>
          <w:rStyle w:val="Funotenzeichen"/>
        </w:rPr>
        <w:footnoteReference w:id="15"/>
      </w:r>
    </w:p>
    <w:p w14:paraId="323F97F9" w14:textId="3BB39B0A" w:rsidR="000354EF" w:rsidRDefault="003D230F">
      <w:r>
        <w:t>I</w:t>
      </w:r>
      <w:r w:rsidR="006C3C73">
        <w:t xml:space="preserve">m </w:t>
      </w:r>
      <w:r w:rsidR="00E8748E">
        <w:t xml:space="preserve">Rahmen </w:t>
      </w:r>
      <w:r w:rsidR="006C3C73">
        <w:t>des EU Forschungspaketes „</w:t>
      </w:r>
      <w:r w:rsidR="006C3C73" w:rsidRPr="006C3C73">
        <w:t>Migration und Integration von Migrantinnen und Migranten: Wissensbasierte Ansätze zur Migrationspolitik ermöglichen</w:t>
      </w:r>
      <w:r w:rsidR="006C3C73">
        <w:t>“</w:t>
      </w:r>
      <w:r w:rsidR="006C3C73">
        <w:rPr>
          <w:rStyle w:val="Funotenzeichen"/>
        </w:rPr>
        <w:footnoteReference w:id="16"/>
      </w:r>
      <w:r w:rsidR="005F4203">
        <w:t xml:space="preserve"> </w:t>
      </w:r>
      <w:r>
        <w:t>stellt die Studie</w:t>
      </w:r>
      <w:r w:rsidRPr="005F4203">
        <w:t xml:space="preserve"> </w:t>
      </w:r>
      <w:r>
        <w:t>„</w:t>
      </w:r>
      <w:r w:rsidRPr="005F4203">
        <w:t>Der Quelle der Diskriminierung auf den Grund gehen</w:t>
      </w:r>
      <w:r>
        <w:t xml:space="preserve">“ der Wirtschaftsuniversität Luigi </w:t>
      </w:r>
      <w:proofErr w:type="spellStart"/>
      <w:r>
        <w:t>Bocconi</w:t>
      </w:r>
      <w:proofErr w:type="spellEnd"/>
      <w:r>
        <w:t xml:space="preserve"> nun deutliche Anzeichen fest, dass </w:t>
      </w:r>
      <w:r w:rsidR="00A07C5C">
        <w:t xml:space="preserve">die Missachtung </w:t>
      </w:r>
      <w:r w:rsidR="008C471A">
        <w:t xml:space="preserve">und Diskriminierung </w:t>
      </w:r>
      <w:r w:rsidR="00A07C5C">
        <w:t xml:space="preserve">von Migrant*innen </w:t>
      </w:r>
      <w:r>
        <w:t xml:space="preserve">in einem weit größerem Ausmaß </w:t>
      </w:r>
      <w:r w:rsidR="00A07C5C">
        <w:t>als bisher gedacht</w:t>
      </w:r>
      <w:r w:rsidR="008C471A">
        <w:t>,</w:t>
      </w:r>
      <w:r w:rsidR="00A07C5C">
        <w:t xml:space="preserve"> </w:t>
      </w:r>
      <w:r w:rsidR="008C471A">
        <w:t>aufgrund</w:t>
      </w:r>
      <w:r w:rsidR="00A07C5C">
        <w:t xml:space="preserve"> </w:t>
      </w:r>
      <w:r w:rsidR="008C471A">
        <w:t>der Zuschreibung eines niedrigen sozialen Status geschieht,</w:t>
      </w:r>
      <w:r>
        <w:t xml:space="preserve"> als </w:t>
      </w:r>
      <w:r w:rsidR="008C471A">
        <w:t xml:space="preserve">durch </w:t>
      </w:r>
      <w:r>
        <w:t>die ethnische Zugehörigkeit</w:t>
      </w:r>
      <w:r w:rsidR="00A07C5C">
        <w:t xml:space="preserve"> allein</w:t>
      </w:r>
      <w:r>
        <w:t>.</w:t>
      </w:r>
      <w:r>
        <w:rPr>
          <w:rStyle w:val="Funotenzeichen"/>
        </w:rPr>
        <w:footnoteReference w:id="17"/>
      </w:r>
      <w:r>
        <w:br/>
        <w:t>Die</w:t>
      </w:r>
      <w:r w:rsidR="008F3C9A">
        <w:t>s</w:t>
      </w:r>
      <w:r>
        <w:t>es erweiterte</w:t>
      </w:r>
      <w:r w:rsidR="008F3C9A">
        <w:t xml:space="preserve"> Bild bezüglich Diskriminierungsformen liefert Anlass für Handlungsbedarf. </w:t>
      </w:r>
      <w:r>
        <w:br/>
      </w:r>
      <w:r w:rsidR="002508F1">
        <w:t xml:space="preserve">Die Studienleiterin </w:t>
      </w:r>
      <w:r w:rsidR="002508F1" w:rsidRPr="002508F1">
        <w:t xml:space="preserve">Delia </w:t>
      </w:r>
      <w:proofErr w:type="spellStart"/>
      <w:r w:rsidR="002508F1" w:rsidRPr="002508F1">
        <w:t>Baldassarri</w:t>
      </w:r>
      <w:proofErr w:type="spellEnd"/>
      <w:r w:rsidR="002508F1">
        <w:t xml:space="preserve"> sieht in ihren Ergebnissen ein wichtiges Erkenntnis zur </w:t>
      </w:r>
      <w:r w:rsidR="002508F1">
        <w:lastRenderedPageBreak/>
        <w:t>Gestaltung der Rolle von Wohlfahr</w:t>
      </w:r>
      <w:r>
        <w:t>t</w:t>
      </w:r>
      <w:r w:rsidR="002508F1">
        <w:t>staaten</w:t>
      </w:r>
      <w:r w:rsidR="00941D31">
        <w:t xml:space="preserve"> </w:t>
      </w:r>
      <w:r w:rsidR="00DF0B7B">
        <w:t xml:space="preserve">und </w:t>
      </w:r>
      <w:r>
        <w:t>zur</w:t>
      </w:r>
      <w:r w:rsidR="00DF0B7B">
        <w:t xml:space="preserve"> Absicher</w:t>
      </w:r>
      <w:r>
        <w:t>u</w:t>
      </w:r>
      <w:r w:rsidR="00DF0B7B">
        <w:t>n</w:t>
      </w:r>
      <w:r>
        <w:t>g</w:t>
      </w:r>
      <w:r w:rsidR="00DF0B7B">
        <w:t xml:space="preserve"> der sozialen Stabilität </w:t>
      </w:r>
      <w:r w:rsidR="00941D31">
        <w:t>in Zeiten zunehmender Migration</w:t>
      </w:r>
      <w:r w:rsidR="002508F1">
        <w:t>.</w:t>
      </w:r>
      <w:r w:rsidR="002508F1">
        <w:rPr>
          <w:rStyle w:val="Funotenzeichen"/>
        </w:rPr>
        <w:footnoteReference w:id="18"/>
      </w:r>
    </w:p>
    <w:p w14:paraId="12C0982F" w14:textId="7509CF8B" w:rsidR="00C80372" w:rsidRPr="00C80372" w:rsidRDefault="00C80372" w:rsidP="007E5DCF">
      <w:pPr>
        <w:rPr>
          <w:b/>
          <w:bCs/>
        </w:rPr>
      </w:pPr>
      <w:r w:rsidRPr="00C80372">
        <w:rPr>
          <w:b/>
          <w:bCs/>
        </w:rPr>
        <w:t>Aktuelle Entwicklungen</w:t>
      </w:r>
    </w:p>
    <w:p w14:paraId="2DADAF50" w14:textId="50244C89" w:rsidR="00321C15" w:rsidRDefault="00093AEA" w:rsidP="007E5DCF">
      <w:pPr>
        <w:rPr>
          <w:vertAlign w:val="superscript"/>
        </w:rPr>
      </w:pPr>
      <w:r>
        <w:t>E</w:t>
      </w:r>
      <w:r w:rsidR="00DF0B7B">
        <w:t>s gibt erste Entwicklungen auf nationaler Ebene</w:t>
      </w:r>
      <w:r w:rsidR="00321C15">
        <w:t xml:space="preserve"> in Europa</w:t>
      </w:r>
      <w:r w:rsidR="00DF0B7B">
        <w:t xml:space="preserve">, die </w:t>
      </w:r>
      <w:r w:rsidR="007C17E7">
        <w:t xml:space="preserve">zeigen, dass man </w:t>
      </w:r>
      <w:r w:rsidR="00DF0B7B">
        <w:t>nicht darauf warten</w:t>
      </w:r>
      <w:r w:rsidR="007C17E7">
        <w:t xml:space="preserve"> muss</w:t>
      </w:r>
      <w:r w:rsidR="00DF0B7B">
        <w:t xml:space="preserve">, </w:t>
      </w:r>
      <w:r w:rsidR="007C17E7">
        <w:t>bis</w:t>
      </w:r>
      <w:r w:rsidR="00DF0B7B">
        <w:t xml:space="preserve"> erst EU Richtlinie</w:t>
      </w:r>
      <w:r w:rsidR="007C17E7">
        <w:t>n</w:t>
      </w:r>
      <w:r w:rsidR="00DF0B7B">
        <w:t xml:space="preserve"> </w:t>
      </w:r>
      <w:r w:rsidR="007C17E7">
        <w:t>erlassen werden</w:t>
      </w:r>
      <w:r>
        <w:t>.</w:t>
      </w:r>
      <w:r w:rsidR="00DF0B7B">
        <w:t xml:space="preserve"> </w:t>
      </w:r>
      <w:r>
        <w:t>M</w:t>
      </w:r>
      <w:r w:rsidR="007C17E7">
        <w:t xml:space="preserve">an durchaus die gesetzlichen Normen anpassen, </w:t>
      </w:r>
      <w:r w:rsidR="00DF0B7B">
        <w:t xml:space="preserve">um auf die deutlich sprechenden Ergebnisse der aktuellen Forschung </w:t>
      </w:r>
      <w:r w:rsidR="007C17E7">
        <w:t xml:space="preserve">adäquat </w:t>
      </w:r>
      <w:r w:rsidR="00DF0B7B">
        <w:t>zu reagieren</w:t>
      </w:r>
      <w:r w:rsidR="007C17E7">
        <w:t>.</w:t>
      </w:r>
      <w:r w:rsidR="003E4B20">
        <w:t xml:space="preserve"> So hat etwa Berlin auf Landeseben</w:t>
      </w:r>
      <w:r w:rsidR="007624C0">
        <w:t>e</w:t>
      </w:r>
      <w:r w:rsidR="003E4B20">
        <w:t xml:space="preserve"> den Diskriminierungstatbestand </w:t>
      </w:r>
      <w:r w:rsidR="003E4B20" w:rsidRPr="003E4B20">
        <w:t xml:space="preserve">des </w:t>
      </w:r>
      <w:r w:rsidR="003E4B20">
        <w:t>„</w:t>
      </w:r>
      <w:r w:rsidR="003E4B20" w:rsidRPr="003E4B20">
        <w:t>sozialen Status</w:t>
      </w:r>
      <w:r w:rsidR="003E4B20">
        <w:t xml:space="preserve">“ in das Landesantidiskriminierungsgesetz (LADS) </w:t>
      </w:r>
      <w:r w:rsidR="007624C0">
        <w:t>seit Juni 2020 festgeschrieben.</w:t>
      </w:r>
      <w:r w:rsidR="007624C0">
        <w:rPr>
          <w:rStyle w:val="Funotenzeichen"/>
        </w:rPr>
        <w:footnoteReference w:id="19"/>
      </w:r>
      <w:r w:rsidR="00501B6C" w:rsidRPr="00501B6C">
        <w:rPr>
          <w:vertAlign w:val="superscript"/>
        </w:rPr>
        <w:t>,</w:t>
      </w:r>
      <w:r w:rsidR="00D520A6">
        <w:rPr>
          <w:rStyle w:val="Funotenzeichen"/>
        </w:rPr>
        <w:footnoteReference w:id="20"/>
      </w:r>
    </w:p>
    <w:p w14:paraId="244C7EF1" w14:textId="12FEDA34" w:rsidR="00860ECD" w:rsidRPr="00860ECD" w:rsidRDefault="00860ECD" w:rsidP="00860ECD">
      <w:pPr>
        <w:spacing w:after="0"/>
        <w:rPr>
          <w:bCs/>
        </w:rPr>
      </w:pPr>
      <w:r w:rsidRPr="00860ECD">
        <w:rPr>
          <w:bCs/>
        </w:rPr>
        <w:t>Auch Österreich könnte es</w:t>
      </w:r>
      <w:r>
        <w:rPr>
          <w:bCs/>
        </w:rPr>
        <w:t xml:space="preserve"> </w:t>
      </w:r>
      <w:r w:rsidRPr="00860ECD">
        <w:rPr>
          <w:bCs/>
        </w:rPr>
        <w:t>vormachen und die „soziale</w:t>
      </w:r>
    </w:p>
    <w:p w14:paraId="25AE9AC6" w14:textId="77777777" w:rsidR="00860ECD" w:rsidRPr="00860ECD" w:rsidRDefault="00860ECD" w:rsidP="00860ECD">
      <w:pPr>
        <w:spacing w:after="0"/>
        <w:rPr>
          <w:bCs/>
        </w:rPr>
      </w:pPr>
      <w:r w:rsidRPr="00860ECD">
        <w:rPr>
          <w:bCs/>
        </w:rPr>
        <w:t>Herkunft“ als Diskriminierungsgrund für alle Bereiche (Arbeit, Wohnen, Gesundheit und Bildung)</w:t>
      </w:r>
    </w:p>
    <w:p w14:paraId="58753A5A" w14:textId="3A1C0F93" w:rsidR="00860ECD" w:rsidRDefault="00860ECD" w:rsidP="00860ECD">
      <w:pPr>
        <w:spacing w:after="0"/>
        <w:rPr>
          <w:bCs/>
        </w:rPr>
      </w:pPr>
      <w:r>
        <w:rPr>
          <w:bCs/>
        </w:rPr>
        <w:t>gesetzlich schützen.</w:t>
      </w:r>
      <w:r w:rsidR="00FD4E69">
        <w:rPr>
          <w:bCs/>
        </w:rPr>
        <w:t xml:space="preserve"> </w:t>
      </w:r>
      <w:bookmarkStart w:id="0" w:name="_GoBack"/>
      <w:bookmarkEnd w:id="0"/>
    </w:p>
    <w:p w14:paraId="14F225F8" w14:textId="77777777" w:rsidR="00860ECD" w:rsidRPr="00860ECD" w:rsidRDefault="00860ECD" w:rsidP="00860ECD">
      <w:pPr>
        <w:spacing w:after="0"/>
        <w:rPr>
          <w:bCs/>
        </w:rPr>
      </w:pPr>
    </w:p>
    <w:p w14:paraId="3DDD1DF2" w14:textId="3730713E" w:rsidR="00860ECD" w:rsidRPr="00860ECD" w:rsidRDefault="00860ECD" w:rsidP="00860ECD">
      <w:pPr>
        <w:rPr>
          <w:b/>
          <w:bCs/>
        </w:rPr>
      </w:pPr>
      <w:r w:rsidRPr="00860ECD">
        <w:rPr>
          <w:b/>
          <w:bCs/>
        </w:rPr>
        <w:t>Die Arbeiterkammer Wien möge daher beschließen:</w:t>
      </w:r>
    </w:p>
    <w:p w14:paraId="2EA681E4" w14:textId="7B16E5FC" w:rsidR="00860ECD" w:rsidRPr="00860ECD" w:rsidRDefault="00860ECD" w:rsidP="00860ECD">
      <w:pPr>
        <w:spacing w:after="0"/>
        <w:rPr>
          <w:b/>
          <w:bCs/>
        </w:rPr>
      </w:pPr>
      <w:r w:rsidRPr="00860ECD">
        <w:rPr>
          <w:b/>
          <w:bCs/>
        </w:rPr>
        <w:t xml:space="preserve">dass </w:t>
      </w:r>
      <w:r>
        <w:rPr>
          <w:b/>
          <w:bCs/>
        </w:rPr>
        <w:t xml:space="preserve">auf Bundesebene im </w:t>
      </w:r>
      <w:r w:rsidRPr="00860ECD">
        <w:rPr>
          <w:b/>
          <w:bCs/>
        </w:rPr>
        <w:t>Gleichbehandlungsgesetz (</w:t>
      </w:r>
      <w:proofErr w:type="spellStart"/>
      <w:r w:rsidRPr="00860ECD">
        <w:rPr>
          <w:b/>
          <w:bCs/>
        </w:rPr>
        <w:t>GlBG</w:t>
      </w:r>
      <w:proofErr w:type="spellEnd"/>
      <w:r w:rsidRPr="00860ECD">
        <w:rPr>
          <w:b/>
          <w:bCs/>
        </w:rPr>
        <w:t>) und Bundesgleichbehandlung</w:t>
      </w:r>
      <w:r>
        <w:rPr>
          <w:b/>
          <w:bCs/>
        </w:rPr>
        <w:t>sgesetz (B-</w:t>
      </w:r>
      <w:proofErr w:type="spellStart"/>
      <w:r>
        <w:rPr>
          <w:b/>
          <w:bCs/>
        </w:rPr>
        <w:t>GlBG</w:t>
      </w:r>
      <w:proofErr w:type="spellEnd"/>
      <w:r>
        <w:rPr>
          <w:b/>
          <w:bCs/>
        </w:rPr>
        <w:t xml:space="preserve">), aber auch auf </w:t>
      </w:r>
      <w:r w:rsidRPr="00860ECD">
        <w:rPr>
          <w:b/>
          <w:bCs/>
        </w:rPr>
        <w:t xml:space="preserve">Landesebene (ähnlich dem Berliner Modell) </w:t>
      </w:r>
      <w:r>
        <w:rPr>
          <w:b/>
          <w:bCs/>
        </w:rPr>
        <w:t xml:space="preserve">in Wien, im Gesetz zur Bekämpfung </w:t>
      </w:r>
      <w:r w:rsidRPr="00860ECD">
        <w:rPr>
          <w:b/>
          <w:bCs/>
        </w:rPr>
        <w:t xml:space="preserve">von Diskriminierung (Wiener Antidiskriminierungsgesetz) </w:t>
      </w:r>
      <w:r>
        <w:rPr>
          <w:b/>
          <w:bCs/>
        </w:rPr>
        <w:t xml:space="preserve">das Merkmal „soziale Herkunft“ </w:t>
      </w:r>
      <w:r w:rsidRPr="00860ECD">
        <w:rPr>
          <w:b/>
          <w:bCs/>
        </w:rPr>
        <w:t xml:space="preserve">als Diskriminierungsgrund für alle Bereiche (Arbeit, </w:t>
      </w:r>
      <w:r w:rsidRPr="00860ECD">
        <w:rPr>
          <w:b/>
          <w:bCs/>
        </w:rPr>
        <w:t>Wohnen, Gesundheit und Bildung) aufgenommen wird.</w:t>
      </w:r>
    </w:p>
    <w:p w14:paraId="743DE821" w14:textId="0599FE0B" w:rsidR="00321C15" w:rsidRPr="00860ECD" w:rsidRDefault="00860ECD" w:rsidP="00860ECD">
      <w:pPr>
        <w:rPr>
          <w:b/>
          <w:bCs/>
        </w:rPr>
      </w:pPr>
      <w:r w:rsidRPr="00860ECD">
        <w:rPr>
          <w:b/>
          <w:bCs/>
        </w:rPr>
        <w:t xml:space="preserve">Begleitend setzt sich die AK Wien dafür ein, dass auch die </w:t>
      </w:r>
      <w:r>
        <w:rPr>
          <w:b/>
          <w:bCs/>
        </w:rPr>
        <w:t xml:space="preserve">Zuständigkeiten im Bundesgesetz </w:t>
      </w:r>
      <w:r w:rsidRPr="00860ECD">
        <w:rPr>
          <w:b/>
          <w:bCs/>
        </w:rPr>
        <w:t>über die Gleichbehandlungskommission und die Gleichbehandlun</w:t>
      </w:r>
      <w:r>
        <w:rPr>
          <w:b/>
          <w:bCs/>
        </w:rPr>
        <w:t xml:space="preserve">gsanwaltschaft (GBK/GAW-Gesetz) </w:t>
      </w:r>
      <w:r w:rsidRPr="00860ECD">
        <w:rPr>
          <w:b/>
          <w:bCs/>
        </w:rPr>
        <w:t>angepasst werden.</w:t>
      </w:r>
    </w:p>
    <w:p w14:paraId="49AA8A30" w14:textId="77777777" w:rsidR="00321C15" w:rsidRDefault="00321C15" w:rsidP="007E5DCF"/>
    <w:sectPr w:rsidR="00321C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DCF56" w14:textId="77777777" w:rsidR="00464779" w:rsidRDefault="00464779" w:rsidP="00FF7262">
      <w:pPr>
        <w:spacing w:after="0" w:line="240" w:lineRule="auto"/>
      </w:pPr>
      <w:r>
        <w:separator/>
      </w:r>
    </w:p>
  </w:endnote>
  <w:endnote w:type="continuationSeparator" w:id="0">
    <w:p w14:paraId="26BC6DB6" w14:textId="77777777" w:rsidR="00464779" w:rsidRDefault="00464779" w:rsidP="00FF7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57870" w14:textId="77777777" w:rsidR="00464779" w:rsidRDefault="00464779" w:rsidP="00FF7262">
      <w:pPr>
        <w:spacing w:after="0" w:line="240" w:lineRule="auto"/>
      </w:pPr>
      <w:r>
        <w:separator/>
      </w:r>
    </w:p>
  </w:footnote>
  <w:footnote w:type="continuationSeparator" w:id="0">
    <w:p w14:paraId="2508BA31" w14:textId="77777777" w:rsidR="00464779" w:rsidRDefault="00464779" w:rsidP="00FF7262">
      <w:pPr>
        <w:spacing w:after="0" w:line="240" w:lineRule="auto"/>
      </w:pPr>
      <w:r>
        <w:continuationSeparator/>
      </w:r>
    </w:p>
  </w:footnote>
  <w:footnote w:id="1">
    <w:p w14:paraId="7871B727" w14:textId="739A097F" w:rsidR="00B44B97" w:rsidRDefault="00B44B97" w:rsidP="00B44B97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FE536D" w:rsidRPr="00FE536D">
        <w:rPr>
          <w:sz w:val="18"/>
          <w:szCs w:val="18"/>
        </w:rPr>
        <w:t xml:space="preserve">Nach: </w:t>
      </w:r>
      <w:hyperlink r:id="rId1" w:history="1">
        <w:r w:rsidR="00FE536D" w:rsidRPr="00FE536D">
          <w:rPr>
            <w:rStyle w:val="Hyperlink"/>
            <w:sz w:val="18"/>
            <w:szCs w:val="18"/>
          </w:rPr>
          <w:t>http://www.antidiskriminierungsstelle.de/SharedDocs/Downloads/DE/publikationen/BT_Bericht/Gemeinsamer_Bericht_zweiter_2013.pdf?__blob=publicationFile</w:t>
        </w:r>
      </w:hyperlink>
      <w:r w:rsidR="00FE536D">
        <w:t xml:space="preserve">, </w:t>
      </w:r>
      <w:r w:rsidR="00817EB6">
        <w:t xml:space="preserve">S. 48, </w:t>
      </w:r>
      <w:r w:rsidR="00FE536D">
        <w:t>abgerufen am 23.10.2020.</w:t>
      </w:r>
    </w:p>
  </w:footnote>
  <w:footnote w:id="2">
    <w:p w14:paraId="62E93AEB" w14:textId="77777777" w:rsidR="00EA58A5" w:rsidRPr="00EA6272" w:rsidRDefault="00EA58A5" w:rsidP="00EA58A5">
      <w:pPr>
        <w:pStyle w:val="Funotentext"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EA6272">
        <w:rPr>
          <w:sz w:val="18"/>
          <w:szCs w:val="18"/>
        </w:rPr>
        <w:t xml:space="preserve">Nach </w:t>
      </w:r>
      <w:hyperlink r:id="rId2" w:history="1">
        <w:r w:rsidRPr="00EA6272">
          <w:rPr>
            <w:rStyle w:val="Hyperlink"/>
            <w:sz w:val="18"/>
            <w:szCs w:val="18"/>
          </w:rPr>
          <w:t>https://www.antidiskriminierungsstelle.steiermark.at/cms/beitrag/11665664/74204238</w:t>
        </w:r>
      </w:hyperlink>
      <w:r w:rsidRPr="00EA6272">
        <w:rPr>
          <w:sz w:val="18"/>
          <w:szCs w:val="18"/>
        </w:rPr>
        <w:t>, abgerufen am 16.10.2020</w:t>
      </w:r>
    </w:p>
  </w:footnote>
  <w:footnote w:id="3">
    <w:p w14:paraId="17C61B27" w14:textId="77777777" w:rsidR="002508F1" w:rsidRPr="00EA6272" w:rsidRDefault="002508F1" w:rsidP="002508F1">
      <w:pPr>
        <w:spacing w:after="0"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EA6272">
        <w:rPr>
          <w:sz w:val="18"/>
          <w:szCs w:val="18"/>
        </w:rPr>
        <w:t xml:space="preserve">nach </w:t>
      </w:r>
      <w:hyperlink r:id="rId3" w:history="1">
        <w:r w:rsidRPr="00EA6272">
          <w:rPr>
            <w:rStyle w:val="Hyperlink"/>
            <w:sz w:val="18"/>
            <w:szCs w:val="18"/>
          </w:rPr>
          <w:t>https://www.humanrights.ch/de/ipf/grundlagen/rechtsquellen-themen/diskriminierungsverbot</w:t>
        </w:r>
      </w:hyperlink>
      <w:r w:rsidRPr="00EA6272">
        <w:rPr>
          <w:sz w:val="18"/>
          <w:szCs w:val="18"/>
        </w:rPr>
        <w:t>, abgerufen am 15.10.2020:</w:t>
      </w:r>
      <w:r w:rsidRPr="00EA6272">
        <w:rPr>
          <w:sz w:val="18"/>
          <w:szCs w:val="18"/>
        </w:rPr>
        <w:br/>
        <w:t>Beispiele:</w:t>
      </w:r>
    </w:p>
    <w:p w14:paraId="260C6775" w14:textId="77777777" w:rsidR="002508F1" w:rsidRPr="00EA6272" w:rsidRDefault="002508F1" w:rsidP="002508F1">
      <w:pPr>
        <w:pStyle w:val="Listenabsatz"/>
        <w:numPr>
          <w:ilvl w:val="0"/>
          <w:numId w:val="1"/>
        </w:numPr>
        <w:spacing w:after="0"/>
        <w:rPr>
          <w:sz w:val="18"/>
          <w:szCs w:val="18"/>
        </w:rPr>
      </w:pPr>
      <w:r w:rsidRPr="00EA6272">
        <w:rPr>
          <w:sz w:val="18"/>
          <w:szCs w:val="18"/>
        </w:rPr>
        <w:t>Allgemeine Erklärung der Menschenrechte, Art. 2: Verbot der Diskriminierung</w:t>
      </w:r>
    </w:p>
    <w:p w14:paraId="44E9C780" w14:textId="77777777" w:rsidR="002508F1" w:rsidRPr="00EA6272" w:rsidRDefault="002508F1" w:rsidP="002508F1">
      <w:pPr>
        <w:pStyle w:val="Listenabsatz"/>
        <w:numPr>
          <w:ilvl w:val="0"/>
          <w:numId w:val="1"/>
        </w:numPr>
        <w:rPr>
          <w:sz w:val="18"/>
          <w:szCs w:val="18"/>
        </w:rPr>
      </w:pPr>
      <w:r w:rsidRPr="00EA6272">
        <w:rPr>
          <w:sz w:val="18"/>
          <w:szCs w:val="18"/>
        </w:rPr>
        <w:t>UNO Menschenrechtsabkommen, Internationaler Pakt über wirtschaftliche, soziale und kulturelle Rechte, Art. 2: (2)</w:t>
      </w:r>
      <w:r w:rsidRPr="005F4203">
        <w:t xml:space="preserve"> </w:t>
      </w:r>
      <w:r w:rsidRPr="005F4203">
        <w:rPr>
          <w:sz w:val="18"/>
          <w:szCs w:val="18"/>
        </w:rPr>
        <w:t>Der Quelle der Diskriminierung auf den Grund gehen</w:t>
      </w:r>
    </w:p>
    <w:p w14:paraId="579744BA" w14:textId="77777777" w:rsidR="002508F1" w:rsidRPr="00EA6272" w:rsidRDefault="002508F1" w:rsidP="002508F1">
      <w:pPr>
        <w:pStyle w:val="Listenabsatz"/>
        <w:numPr>
          <w:ilvl w:val="0"/>
          <w:numId w:val="1"/>
        </w:numPr>
        <w:rPr>
          <w:sz w:val="18"/>
          <w:szCs w:val="18"/>
        </w:rPr>
      </w:pPr>
      <w:r w:rsidRPr="00EA6272">
        <w:rPr>
          <w:sz w:val="18"/>
          <w:szCs w:val="18"/>
        </w:rPr>
        <w:t>Internationaler Pakt über bürgerliche und politische Rechte, Art. 2: (1) und Art. 26</w:t>
      </w:r>
    </w:p>
    <w:p w14:paraId="61347B7F" w14:textId="77777777" w:rsidR="002508F1" w:rsidRPr="00EA6272" w:rsidRDefault="002508F1" w:rsidP="002508F1">
      <w:pPr>
        <w:pStyle w:val="Listenabsatz"/>
        <w:numPr>
          <w:ilvl w:val="0"/>
          <w:numId w:val="1"/>
        </w:numPr>
        <w:rPr>
          <w:sz w:val="18"/>
          <w:szCs w:val="18"/>
        </w:rPr>
      </w:pPr>
      <w:r w:rsidRPr="00EA6272">
        <w:rPr>
          <w:sz w:val="18"/>
          <w:szCs w:val="18"/>
        </w:rPr>
        <w:t>ILO Konventionen: Übereinkommen Nr. 111 vom 25. Juni 1958 über die Diskriminierung in Beschäftigung und Beruf</w:t>
      </w:r>
    </w:p>
    <w:p w14:paraId="35728E81" w14:textId="77777777" w:rsidR="002508F1" w:rsidRPr="00EA6272" w:rsidRDefault="002508F1" w:rsidP="002508F1">
      <w:pPr>
        <w:pStyle w:val="Listenabsatz"/>
        <w:numPr>
          <w:ilvl w:val="0"/>
          <w:numId w:val="1"/>
        </w:numPr>
        <w:rPr>
          <w:sz w:val="18"/>
          <w:szCs w:val="18"/>
        </w:rPr>
      </w:pPr>
      <w:r w:rsidRPr="00EA6272">
        <w:rPr>
          <w:sz w:val="18"/>
          <w:szCs w:val="18"/>
        </w:rPr>
        <w:t>Europäische Menschenrechtskonvention, Art. 14</w:t>
      </w:r>
    </w:p>
    <w:p w14:paraId="06D1BCC4" w14:textId="77777777" w:rsidR="002508F1" w:rsidRPr="00EA6272" w:rsidRDefault="002508F1" w:rsidP="002508F1">
      <w:pPr>
        <w:pStyle w:val="Listenabsatz"/>
        <w:numPr>
          <w:ilvl w:val="0"/>
          <w:numId w:val="1"/>
        </w:numPr>
        <w:rPr>
          <w:sz w:val="18"/>
          <w:szCs w:val="18"/>
        </w:rPr>
      </w:pPr>
      <w:r w:rsidRPr="00EA6272">
        <w:rPr>
          <w:sz w:val="18"/>
          <w:szCs w:val="18"/>
        </w:rPr>
        <w:t>Zwölftes Zusatzprotokoll zur EMRK, Art. 1: (1)</w:t>
      </w:r>
    </w:p>
    <w:p w14:paraId="37434CC6" w14:textId="77777777" w:rsidR="002508F1" w:rsidRPr="00EA6272" w:rsidRDefault="002508F1" w:rsidP="002508F1">
      <w:pPr>
        <w:pStyle w:val="Listenabsatz"/>
        <w:numPr>
          <w:ilvl w:val="0"/>
          <w:numId w:val="1"/>
        </w:numPr>
        <w:rPr>
          <w:sz w:val="18"/>
          <w:szCs w:val="18"/>
        </w:rPr>
      </w:pPr>
      <w:r w:rsidRPr="00EA6272">
        <w:rPr>
          <w:sz w:val="18"/>
          <w:szCs w:val="18"/>
        </w:rPr>
        <w:t>Europäische Sozialcharta, Art. E</w:t>
      </w:r>
    </w:p>
  </w:footnote>
  <w:footnote w:id="4">
    <w:p w14:paraId="2BE509CB" w14:textId="77777777" w:rsidR="002508F1" w:rsidRPr="00EA6272" w:rsidRDefault="002508F1" w:rsidP="002508F1">
      <w:pPr>
        <w:pStyle w:val="Funotentext"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EA6272">
        <w:rPr>
          <w:sz w:val="18"/>
          <w:szCs w:val="18"/>
        </w:rPr>
        <w:t xml:space="preserve">nach </w:t>
      </w:r>
      <w:hyperlink r:id="rId4" w:history="1">
        <w:r w:rsidRPr="00EA6272">
          <w:rPr>
            <w:rStyle w:val="Hyperlink"/>
            <w:sz w:val="18"/>
            <w:szCs w:val="18"/>
          </w:rPr>
          <w:t>https://www.humanrights.ch/de/ipf/menschenrechte/diskriminierung/diskriminierungsverbot-dossier/internationale-normen/europaeische-union/</w:t>
        </w:r>
      </w:hyperlink>
      <w:r w:rsidRPr="00EA6272">
        <w:rPr>
          <w:sz w:val="18"/>
          <w:szCs w:val="18"/>
        </w:rPr>
        <w:t>, abgerufen am 15.10.2020</w:t>
      </w:r>
    </w:p>
  </w:footnote>
  <w:footnote w:id="5">
    <w:p w14:paraId="0CB57DA0" w14:textId="77777777" w:rsidR="002508F1" w:rsidRDefault="002508F1" w:rsidP="002508F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A6272">
        <w:rPr>
          <w:sz w:val="18"/>
          <w:szCs w:val="18"/>
        </w:rPr>
        <w:t xml:space="preserve">M. </w:t>
      </w:r>
      <w:proofErr w:type="spellStart"/>
      <w:r w:rsidRPr="00EA6272">
        <w:rPr>
          <w:sz w:val="18"/>
          <w:szCs w:val="18"/>
        </w:rPr>
        <w:t>Beneke</w:t>
      </w:r>
      <w:proofErr w:type="spellEnd"/>
      <w:r w:rsidRPr="00EA6272">
        <w:rPr>
          <w:sz w:val="18"/>
          <w:szCs w:val="18"/>
        </w:rPr>
        <w:t>, Rechtsvergleich der europäischen Systeme zum Antidiskriminierungsrecht, S. 32, Antidiskriminierungsstelle des Bundes, Berlin, 2010</w:t>
      </w:r>
      <w:r>
        <w:t>.</w:t>
      </w:r>
    </w:p>
  </w:footnote>
  <w:footnote w:id="6">
    <w:p w14:paraId="29A1248A" w14:textId="77777777" w:rsidR="002508F1" w:rsidRPr="00A064F8" w:rsidRDefault="002508F1" w:rsidP="002508F1">
      <w:pPr>
        <w:pStyle w:val="Funotentext"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A064F8">
        <w:rPr>
          <w:sz w:val="18"/>
          <w:szCs w:val="18"/>
        </w:rPr>
        <w:t xml:space="preserve">D. Schönherr, B. </w:t>
      </w:r>
      <w:proofErr w:type="spellStart"/>
      <w:r w:rsidRPr="00A064F8">
        <w:rPr>
          <w:sz w:val="18"/>
          <w:szCs w:val="18"/>
        </w:rPr>
        <w:t>Leibetseder</w:t>
      </w:r>
      <w:proofErr w:type="spellEnd"/>
      <w:r w:rsidRPr="00A064F8">
        <w:rPr>
          <w:sz w:val="18"/>
          <w:szCs w:val="18"/>
        </w:rPr>
        <w:t xml:space="preserve">, W. Moser, C. </w:t>
      </w:r>
      <w:proofErr w:type="spellStart"/>
      <w:r w:rsidRPr="00A064F8">
        <w:rPr>
          <w:sz w:val="18"/>
          <w:szCs w:val="18"/>
        </w:rPr>
        <w:t>Hofinger</w:t>
      </w:r>
      <w:proofErr w:type="spellEnd"/>
      <w:r w:rsidRPr="00A064F8">
        <w:rPr>
          <w:sz w:val="18"/>
          <w:szCs w:val="18"/>
        </w:rPr>
        <w:t xml:space="preserve">, Diskriminierungserfahrungen in Österreich, S. 2, </w:t>
      </w:r>
      <w:proofErr w:type="spellStart"/>
      <w:r w:rsidRPr="00A064F8">
        <w:rPr>
          <w:sz w:val="18"/>
          <w:szCs w:val="18"/>
        </w:rPr>
        <w:t>Sora</w:t>
      </w:r>
      <w:proofErr w:type="spellEnd"/>
      <w:r w:rsidRPr="00A064F8">
        <w:rPr>
          <w:sz w:val="18"/>
          <w:szCs w:val="18"/>
        </w:rPr>
        <w:t xml:space="preserve"> Endbericht, Wien, 2019.</w:t>
      </w:r>
    </w:p>
  </w:footnote>
  <w:footnote w:id="7">
    <w:p w14:paraId="688B646F" w14:textId="6604F86A" w:rsidR="00C621CD" w:rsidRDefault="00C621C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A6272">
        <w:rPr>
          <w:sz w:val="18"/>
          <w:szCs w:val="18"/>
        </w:rPr>
        <w:t xml:space="preserve">M. </w:t>
      </w:r>
      <w:proofErr w:type="spellStart"/>
      <w:r w:rsidRPr="00EA6272">
        <w:rPr>
          <w:sz w:val="18"/>
          <w:szCs w:val="18"/>
        </w:rPr>
        <w:t>Beneke</w:t>
      </w:r>
      <w:proofErr w:type="spellEnd"/>
      <w:r w:rsidRPr="00EA6272">
        <w:rPr>
          <w:sz w:val="18"/>
          <w:szCs w:val="18"/>
        </w:rPr>
        <w:t xml:space="preserve">, Rechtsvergleich der europäischen Systeme zum Antidiskriminierungsrecht, S. </w:t>
      </w:r>
      <w:r>
        <w:rPr>
          <w:sz w:val="18"/>
          <w:szCs w:val="18"/>
        </w:rPr>
        <w:t>73</w:t>
      </w:r>
      <w:r w:rsidRPr="00EA6272">
        <w:rPr>
          <w:sz w:val="18"/>
          <w:szCs w:val="18"/>
        </w:rPr>
        <w:t>, Antidiskriminierungsstelle des Bundes, Berlin, 2010</w:t>
      </w:r>
      <w:r>
        <w:t>.</w:t>
      </w:r>
    </w:p>
  </w:footnote>
  <w:footnote w:id="8">
    <w:p w14:paraId="5EA699AB" w14:textId="1D216E9A" w:rsidR="00926E7B" w:rsidRDefault="00926E7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926E7B">
        <w:rPr>
          <w:sz w:val="18"/>
          <w:szCs w:val="18"/>
        </w:rPr>
        <w:t>S. 70, ebenda.</w:t>
      </w:r>
    </w:p>
  </w:footnote>
  <w:footnote w:id="9">
    <w:p w14:paraId="61510AC3" w14:textId="2022D953" w:rsidR="00941D31" w:rsidRDefault="00941D3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941D31">
        <w:rPr>
          <w:sz w:val="18"/>
          <w:szCs w:val="18"/>
        </w:rPr>
        <w:t>S. 17, ebenda</w:t>
      </w:r>
    </w:p>
  </w:footnote>
  <w:footnote w:id="10">
    <w:p w14:paraId="0D5C750E" w14:textId="25F92725" w:rsidR="00FA00E4" w:rsidRPr="00FA00E4" w:rsidRDefault="00FA00E4">
      <w:pPr>
        <w:pStyle w:val="Funotentext"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FA00E4">
        <w:rPr>
          <w:sz w:val="18"/>
          <w:szCs w:val="18"/>
        </w:rPr>
        <w:t xml:space="preserve">Nach: </w:t>
      </w:r>
      <w:hyperlink r:id="rId5" w:history="1">
        <w:r w:rsidRPr="00FA00E4">
          <w:rPr>
            <w:rStyle w:val="Hyperlink"/>
            <w:sz w:val="18"/>
            <w:szCs w:val="18"/>
          </w:rPr>
          <w:t>https://www.antidiskriminierungsstelle.de/SharedDocs/Kurzmeldungen/DE/2013/nl_06_2013/nl_06_studien_und_veroeffentlichungen_03.html</w:t>
        </w:r>
      </w:hyperlink>
      <w:r w:rsidRPr="00FA00E4">
        <w:rPr>
          <w:sz w:val="18"/>
          <w:szCs w:val="18"/>
        </w:rPr>
        <w:t>, abgerufen am 16.10.2020</w:t>
      </w:r>
    </w:p>
  </w:footnote>
  <w:footnote w:id="11">
    <w:p w14:paraId="73111605" w14:textId="6656D71F" w:rsidR="00B740DD" w:rsidRPr="00B740DD" w:rsidRDefault="00B740DD">
      <w:pPr>
        <w:pStyle w:val="Funotentext"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B740DD">
        <w:rPr>
          <w:sz w:val="18"/>
          <w:szCs w:val="18"/>
        </w:rPr>
        <w:t xml:space="preserve">S. </w:t>
      </w:r>
      <w:proofErr w:type="spellStart"/>
      <w:r w:rsidRPr="00B740DD">
        <w:rPr>
          <w:sz w:val="18"/>
          <w:szCs w:val="18"/>
        </w:rPr>
        <w:t>Jennessen</w:t>
      </w:r>
      <w:proofErr w:type="spellEnd"/>
      <w:r w:rsidRPr="00B740DD">
        <w:rPr>
          <w:sz w:val="18"/>
          <w:szCs w:val="18"/>
        </w:rPr>
        <w:t xml:space="preserve">, N. </w:t>
      </w:r>
      <w:proofErr w:type="spellStart"/>
      <w:r w:rsidRPr="00B740DD">
        <w:rPr>
          <w:sz w:val="18"/>
          <w:szCs w:val="18"/>
        </w:rPr>
        <w:t>Kastirke</w:t>
      </w:r>
      <w:proofErr w:type="spellEnd"/>
      <w:r w:rsidRPr="00B740DD">
        <w:rPr>
          <w:sz w:val="18"/>
          <w:szCs w:val="18"/>
        </w:rPr>
        <w:t>, J. Kotthaus, Diskriminierung im vorschulischen und schulischen Bereich: Eine sozial- und erziehungswissenschaftliche Bestandsaufnahme, Antidiskriminierungsstelle des Bundes, Berlin, 2013.</w:t>
      </w:r>
    </w:p>
  </w:footnote>
  <w:footnote w:id="12">
    <w:p w14:paraId="3BE0AEC7" w14:textId="4784AEC8" w:rsidR="009F0FB0" w:rsidRPr="009F0FB0" w:rsidRDefault="009F0FB0">
      <w:pPr>
        <w:pStyle w:val="Funotentext"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9F0FB0">
        <w:rPr>
          <w:sz w:val="18"/>
          <w:szCs w:val="18"/>
        </w:rPr>
        <w:t xml:space="preserve">Nach: </w:t>
      </w:r>
      <w:hyperlink r:id="rId6" w:history="1">
        <w:r w:rsidRPr="00FC1D13">
          <w:rPr>
            <w:rStyle w:val="Hyperlink"/>
            <w:sz w:val="18"/>
            <w:szCs w:val="18"/>
          </w:rPr>
          <w:t>http://www.antidiskriminierungsstelle.de/SharedDocs/Downloads/DE/publikationen/BT_Bericht/Gemeinsamer_Bericht_zweiter_2013.pdf?__blob=publicationFile</w:t>
        </w:r>
      </w:hyperlink>
      <w:r>
        <w:rPr>
          <w:sz w:val="18"/>
          <w:szCs w:val="18"/>
        </w:rPr>
        <w:t xml:space="preserve">, abgerufen am 23.10.2020 </w:t>
      </w:r>
    </w:p>
  </w:footnote>
  <w:footnote w:id="13">
    <w:p w14:paraId="63CCBB38" w14:textId="2131D192" w:rsidR="00793F4A" w:rsidRDefault="00793F4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A064F8">
        <w:rPr>
          <w:sz w:val="18"/>
          <w:szCs w:val="18"/>
        </w:rPr>
        <w:t xml:space="preserve">D. Schönherr, B. </w:t>
      </w:r>
      <w:proofErr w:type="spellStart"/>
      <w:r w:rsidRPr="00A064F8">
        <w:rPr>
          <w:sz w:val="18"/>
          <w:szCs w:val="18"/>
        </w:rPr>
        <w:t>Leibetseder</w:t>
      </w:r>
      <w:proofErr w:type="spellEnd"/>
      <w:r w:rsidRPr="00A064F8">
        <w:rPr>
          <w:sz w:val="18"/>
          <w:szCs w:val="18"/>
        </w:rPr>
        <w:t xml:space="preserve">, W. Moser, C. </w:t>
      </w:r>
      <w:proofErr w:type="spellStart"/>
      <w:r w:rsidRPr="00A064F8">
        <w:rPr>
          <w:sz w:val="18"/>
          <w:szCs w:val="18"/>
        </w:rPr>
        <w:t>Hofinger</w:t>
      </w:r>
      <w:proofErr w:type="spellEnd"/>
      <w:r w:rsidRPr="00A064F8">
        <w:rPr>
          <w:sz w:val="18"/>
          <w:szCs w:val="18"/>
        </w:rPr>
        <w:t xml:space="preserve">, Diskriminierungserfahrungen in Österreich, </w:t>
      </w:r>
      <w:proofErr w:type="spellStart"/>
      <w:r w:rsidRPr="00A064F8">
        <w:rPr>
          <w:sz w:val="18"/>
          <w:szCs w:val="18"/>
        </w:rPr>
        <w:t>Sora</w:t>
      </w:r>
      <w:proofErr w:type="spellEnd"/>
      <w:r w:rsidRPr="00A064F8">
        <w:rPr>
          <w:sz w:val="18"/>
          <w:szCs w:val="18"/>
        </w:rPr>
        <w:t xml:space="preserve"> Endbericht, Wien, 2019.</w:t>
      </w:r>
    </w:p>
  </w:footnote>
  <w:footnote w:id="14">
    <w:p w14:paraId="7D94C7DD" w14:textId="379732DB" w:rsidR="00DA7F08" w:rsidRDefault="00DA7F0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A064F8">
        <w:rPr>
          <w:sz w:val="18"/>
          <w:szCs w:val="18"/>
        </w:rPr>
        <w:t xml:space="preserve">D. Schönherr, B. </w:t>
      </w:r>
      <w:proofErr w:type="spellStart"/>
      <w:r w:rsidRPr="00A064F8">
        <w:rPr>
          <w:sz w:val="18"/>
          <w:szCs w:val="18"/>
        </w:rPr>
        <w:t>Leibetseder</w:t>
      </w:r>
      <w:proofErr w:type="spellEnd"/>
      <w:r w:rsidRPr="00A064F8">
        <w:rPr>
          <w:sz w:val="18"/>
          <w:szCs w:val="18"/>
        </w:rPr>
        <w:t xml:space="preserve">, W. Moser, C. </w:t>
      </w:r>
      <w:proofErr w:type="spellStart"/>
      <w:r w:rsidRPr="00A064F8">
        <w:rPr>
          <w:sz w:val="18"/>
          <w:szCs w:val="18"/>
        </w:rPr>
        <w:t>Hofinger</w:t>
      </w:r>
      <w:proofErr w:type="spellEnd"/>
      <w:r w:rsidRPr="00A064F8">
        <w:rPr>
          <w:sz w:val="18"/>
          <w:szCs w:val="18"/>
        </w:rPr>
        <w:t xml:space="preserve">, </w:t>
      </w:r>
      <w:proofErr w:type="spellStart"/>
      <w:r w:rsidRPr="00A064F8">
        <w:rPr>
          <w:sz w:val="18"/>
          <w:szCs w:val="18"/>
        </w:rPr>
        <w:t>Diskriminie</w:t>
      </w:r>
      <w:r w:rsidR="00321C15" w:rsidRPr="00321C15">
        <w:rPr>
          <w:sz w:val="18"/>
          <w:szCs w:val="18"/>
        </w:rPr>
        <w:t>B-GlBG</w:t>
      </w:r>
      <w:r w:rsidRPr="00A064F8">
        <w:rPr>
          <w:sz w:val="18"/>
          <w:szCs w:val="18"/>
        </w:rPr>
        <w:t>rungserfahrungen</w:t>
      </w:r>
      <w:proofErr w:type="spellEnd"/>
      <w:r w:rsidRPr="00A064F8">
        <w:rPr>
          <w:sz w:val="18"/>
          <w:szCs w:val="18"/>
        </w:rPr>
        <w:t xml:space="preserve"> in Österreich, </w:t>
      </w:r>
      <w:proofErr w:type="spellStart"/>
      <w:r w:rsidRPr="00A064F8">
        <w:rPr>
          <w:sz w:val="18"/>
          <w:szCs w:val="18"/>
        </w:rPr>
        <w:t>Sora</w:t>
      </w:r>
      <w:proofErr w:type="spellEnd"/>
      <w:r w:rsidRPr="00A064F8">
        <w:rPr>
          <w:sz w:val="18"/>
          <w:szCs w:val="18"/>
        </w:rPr>
        <w:t xml:space="preserve"> Endbericht, </w:t>
      </w:r>
      <w:r>
        <w:rPr>
          <w:sz w:val="18"/>
          <w:szCs w:val="18"/>
        </w:rPr>
        <w:t xml:space="preserve">S. 131, </w:t>
      </w:r>
      <w:r w:rsidRPr="00A064F8">
        <w:rPr>
          <w:sz w:val="18"/>
          <w:szCs w:val="18"/>
        </w:rPr>
        <w:t>Wien, 2019.</w:t>
      </w:r>
    </w:p>
  </w:footnote>
  <w:footnote w:id="15">
    <w:p w14:paraId="318B0FC6" w14:textId="013950EE" w:rsidR="00DA7F08" w:rsidRDefault="00DA7F0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DA7F08">
        <w:rPr>
          <w:sz w:val="18"/>
          <w:szCs w:val="18"/>
        </w:rPr>
        <w:t>ebenda</w:t>
      </w:r>
    </w:p>
  </w:footnote>
  <w:footnote w:id="16">
    <w:p w14:paraId="37C2AFD4" w14:textId="069039AD" w:rsidR="006C3C73" w:rsidRDefault="006C3C7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C3C73">
        <w:rPr>
          <w:sz w:val="18"/>
          <w:szCs w:val="18"/>
        </w:rPr>
        <w:t xml:space="preserve">Nach: </w:t>
      </w:r>
      <w:hyperlink r:id="rId7" w:history="1">
        <w:r w:rsidRPr="006C3C73">
          <w:rPr>
            <w:rStyle w:val="Hyperlink"/>
            <w:sz w:val="18"/>
            <w:szCs w:val="18"/>
          </w:rPr>
          <w:t>https://cordis.europa.eu/article/id/415479-migration-and-migrant-integration-enabling-knowledge-based-approaches-to-migration-policy/de</w:t>
        </w:r>
      </w:hyperlink>
      <w:r w:rsidRPr="006C3C73">
        <w:rPr>
          <w:sz w:val="18"/>
          <w:szCs w:val="18"/>
        </w:rPr>
        <w:t>, abgerufen am 16.10.2020</w:t>
      </w:r>
    </w:p>
  </w:footnote>
  <w:footnote w:id="17">
    <w:p w14:paraId="278FBA1C" w14:textId="77777777" w:rsidR="003D230F" w:rsidRPr="002508F1" w:rsidRDefault="003D230F" w:rsidP="003D230F">
      <w:pPr>
        <w:pStyle w:val="Funotentext"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2508F1">
        <w:rPr>
          <w:sz w:val="18"/>
          <w:szCs w:val="18"/>
        </w:rPr>
        <w:t xml:space="preserve">Nach: </w:t>
      </w:r>
      <w:hyperlink r:id="rId8" w:history="1">
        <w:r w:rsidRPr="002508F1">
          <w:rPr>
            <w:rStyle w:val="Hyperlink"/>
            <w:sz w:val="18"/>
            <w:szCs w:val="18"/>
          </w:rPr>
          <w:t>https://cordis.europa.eu/article/id/415931-getting-to-the-source-of-discrimination/de</w:t>
        </w:r>
      </w:hyperlink>
      <w:r w:rsidRPr="002508F1">
        <w:rPr>
          <w:sz w:val="18"/>
          <w:szCs w:val="18"/>
        </w:rPr>
        <w:t>, abgerufen am 16.10.2020</w:t>
      </w:r>
    </w:p>
  </w:footnote>
  <w:footnote w:id="18">
    <w:p w14:paraId="4DBA9E3F" w14:textId="19167C1C" w:rsidR="002508F1" w:rsidRDefault="002508F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508F1">
        <w:rPr>
          <w:sz w:val="18"/>
          <w:szCs w:val="18"/>
        </w:rPr>
        <w:t>ebenda</w:t>
      </w:r>
    </w:p>
  </w:footnote>
  <w:footnote w:id="19">
    <w:p w14:paraId="76998E18" w14:textId="71584E00" w:rsidR="007624C0" w:rsidRPr="008C0916" w:rsidRDefault="007624C0">
      <w:pPr>
        <w:pStyle w:val="Funotentext"/>
        <w:rPr>
          <w:rFonts w:cstheme="minorHAnsi"/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8C0916">
        <w:rPr>
          <w:rFonts w:cstheme="minorHAnsi"/>
          <w:sz w:val="18"/>
          <w:szCs w:val="18"/>
        </w:rPr>
        <w:t xml:space="preserve">nach: </w:t>
      </w:r>
      <w:hyperlink r:id="rId9" w:history="1">
        <w:r w:rsidRPr="008C0916">
          <w:rPr>
            <w:rStyle w:val="Hyperlink"/>
            <w:rFonts w:cstheme="minorHAnsi"/>
            <w:sz w:val="18"/>
            <w:szCs w:val="18"/>
          </w:rPr>
          <w:t>https://www.berlin.de/sen/lads/recht/ladg/</w:t>
        </w:r>
      </w:hyperlink>
      <w:r w:rsidRPr="008C0916">
        <w:rPr>
          <w:rFonts w:cstheme="minorHAnsi"/>
          <w:sz w:val="18"/>
          <w:szCs w:val="18"/>
        </w:rPr>
        <w:t>, abgerufen am 16.10.2020</w:t>
      </w:r>
    </w:p>
  </w:footnote>
  <w:footnote w:id="20">
    <w:p w14:paraId="6E3B0D49" w14:textId="665FFE0C" w:rsidR="00D520A6" w:rsidRPr="008C0916" w:rsidRDefault="00D520A6">
      <w:pPr>
        <w:pStyle w:val="Funotentext"/>
        <w:rPr>
          <w:rFonts w:cstheme="minorHAnsi"/>
          <w:sz w:val="18"/>
          <w:szCs w:val="18"/>
        </w:rPr>
      </w:pPr>
      <w:r w:rsidRPr="008C0916">
        <w:rPr>
          <w:rStyle w:val="Funotenzeichen"/>
          <w:rFonts w:cstheme="minorHAnsi"/>
          <w:sz w:val="18"/>
          <w:szCs w:val="18"/>
        </w:rPr>
        <w:footnoteRef/>
      </w:r>
      <w:r w:rsidRPr="008C0916">
        <w:rPr>
          <w:rFonts w:cstheme="minorHAnsi"/>
          <w:sz w:val="18"/>
          <w:szCs w:val="18"/>
        </w:rPr>
        <w:t xml:space="preserve"> </w:t>
      </w:r>
      <w:r w:rsidR="008C0916" w:rsidRPr="008C0916">
        <w:rPr>
          <w:rFonts w:cstheme="minorHAnsi"/>
          <w:sz w:val="18"/>
          <w:szCs w:val="18"/>
        </w:rPr>
        <w:t>n</w:t>
      </w:r>
      <w:r w:rsidRPr="008C0916">
        <w:rPr>
          <w:rFonts w:cstheme="minorHAnsi"/>
          <w:sz w:val="18"/>
          <w:szCs w:val="18"/>
        </w:rPr>
        <w:t xml:space="preserve">ach: </w:t>
      </w:r>
      <w:hyperlink r:id="rId10" w:history="1">
        <w:r w:rsidRPr="008C0916">
          <w:rPr>
            <w:rStyle w:val="Hyperlink"/>
            <w:rFonts w:cstheme="minorHAnsi"/>
            <w:sz w:val="18"/>
            <w:szCs w:val="18"/>
          </w:rPr>
          <w:t>https://www.deutschlandfunkkultur.de/berliner-antidiskriminierungsgesetz-die-soziale-herkunft.1008.de.html?dram:article_id=477956</w:t>
        </w:r>
      </w:hyperlink>
      <w:r w:rsidRPr="008C0916">
        <w:rPr>
          <w:rStyle w:val="fontstyle01"/>
          <w:rFonts w:asciiTheme="minorHAnsi" w:hAnsiTheme="minorHAnsi" w:cstheme="minorHAnsi"/>
        </w:rPr>
        <w:t>, abgerufen am 15.10.2020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B1C93"/>
    <w:multiLevelType w:val="hybridMultilevel"/>
    <w:tmpl w:val="20747090"/>
    <w:lvl w:ilvl="0" w:tplc="7812DD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A6997"/>
    <w:multiLevelType w:val="hybridMultilevel"/>
    <w:tmpl w:val="31DE86F6"/>
    <w:lvl w:ilvl="0" w:tplc="70643C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605AB"/>
    <w:multiLevelType w:val="hybridMultilevel"/>
    <w:tmpl w:val="4F84F5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63"/>
    <w:rsid w:val="000354EF"/>
    <w:rsid w:val="00093AEA"/>
    <w:rsid w:val="000B6B36"/>
    <w:rsid w:val="000B7B30"/>
    <w:rsid w:val="00162BE9"/>
    <w:rsid w:val="002508F1"/>
    <w:rsid w:val="002725ED"/>
    <w:rsid w:val="002F314A"/>
    <w:rsid w:val="00321C15"/>
    <w:rsid w:val="003279E2"/>
    <w:rsid w:val="00350491"/>
    <w:rsid w:val="003D230F"/>
    <w:rsid w:val="003E4B20"/>
    <w:rsid w:val="004120E7"/>
    <w:rsid w:val="00464779"/>
    <w:rsid w:val="00491F4C"/>
    <w:rsid w:val="004B5006"/>
    <w:rsid w:val="004F0FEE"/>
    <w:rsid w:val="00501B6C"/>
    <w:rsid w:val="00501C28"/>
    <w:rsid w:val="00582C52"/>
    <w:rsid w:val="005A5CF5"/>
    <w:rsid w:val="005C4B05"/>
    <w:rsid w:val="005D09DB"/>
    <w:rsid w:val="005F4203"/>
    <w:rsid w:val="00632C26"/>
    <w:rsid w:val="00653F2E"/>
    <w:rsid w:val="006A0E63"/>
    <w:rsid w:val="006C3C73"/>
    <w:rsid w:val="006D2AC2"/>
    <w:rsid w:val="007624C0"/>
    <w:rsid w:val="00784101"/>
    <w:rsid w:val="00793F4A"/>
    <w:rsid w:val="00797B0E"/>
    <w:rsid w:val="007A6F43"/>
    <w:rsid w:val="007B6169"/>
    <w:rsid w:val="007C17E7"/>
    <w:rsid w:val="007D68E6"/>
    <w:rsid w:val="007E5DCF"/>
    <w:rsid w:val="007F3269"/>
    <w:rsid w:val="00817EB6"/>
    <w:rsid w:val="00860ECD"/>
    <w:rsid w:val="008C0916"/>
    <w:rsid w:val="008C471A"/>
    <w:rsid w:val="008E0D39"/>
    <w:rsid w:val="008F3C9A"/>
    <w:rsid w:val="00923ED6"/>
    <w:rsid w:val="00926E7B"/>
    <w:rsid w:val="00941D31"/>
    <w:rsid w:val="00944449"/>
    <w:rsid w:val="00972271"/>
    <w:rsid w:val="00977C6F"/>
    <w:rsid w:val="009F0FB0"/>
    <w:rsid w:val="00A064F8"/>
    <w:rsid w:val="00A07C5C"/>
    <w:rsid w:val="00A7285C"/>
    <w:rsid w:val="00AB50EC"/>
    <w:rsid w:val="00AD73AE"/>
    <w:rsid w:val="00AE1D1C"/>
    <w:rsid w:val="00B174CE"/>
    <w:rsid w:val="00B44B97"/>
    <w:rsid w:val="00B61D1F"/>
    <w:rsid w:val="00B740DD"/>
    <w:rsid w:val="00BA610B"/>
    <w:rsid w:val="00BD17AF"/>
    <w:rsid w:val="00C621CD"/>
    <w:rsid w:val="00C80372"/>
    <w:rsid w:val="00CD218A"/>
    <w:rsid w:val="00CE14A6"/>
    <w:rsid w:val="00D520A6"/>
    <w:rsid w:val="00DA7F08"/>
    <w:rsid w:val="00DF0B7B"/>
    <w:rsid w:val="00E00BF0"/>
    <w:rsid w:val="00E15B58"/>
    <w:rsid w:val="00E8748E"/>
    <w:rsid w:val="00EA58A5"/>
    <w:rsid w:val="00EA6272"/>
    <w:rsid w:val="00EF2C65"/>
    <w:rsid w:val="00F00B15"/>
    <w:rsid w:val="00F35260"/>
    <w:rsid w:val="00FA00E4"/>
    <w:rsid w:val="00FD4E69"/>
    <w:rsid w:val="00FE536D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82C49"/>
  <w15:chartTrackingRefBased/>
  <w15:docId w15:val="{4652645E-E003-494B-813A-0C05BF42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FF726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F726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F7262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726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726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726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72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726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7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726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53F2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35260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35260"/>
    <w:rPr>
      <w:color w:val="605E5C"/>
      <w:shd w:val="clear" w:color="auto" w:fill="E1DFDD"/>
    </w:rPr>
  </w:style>
  <w:style w:type="character" w:customStyle="1" w:styleId="fontstyle01">
    <w:name w:val="fontstyle01"/>
    <w:basedOn w:val="Absatz-Standardschriftart"/>
    <w:rsid w:val="00D520A6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A07C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cordis.europa.eu/article/id/415931-getting-to-the-source-of-discrimination/de" TargetMode="External"/><Relationship Id="rId3" Type="http://schemas.openxmlformats.org/officeDocument/2006/relationships/hyperlink" Target="https://www.humanrights.ch/de/ipf/grundlagen/rechtsquellen-themen/diskriminierungsverbot" TargetMode="External"/><Relationship Id="rId7" Type="http://schemas.openxmlformats.org/officeDocument/2006/relationships/hyperlink" Target="https://cordis.europa.eu/article/id/415479-migration-and-migrant-integration-enabling-knowledge-based-approaches-to-migration-policy/de" TargetMode="External"/><Relationship Id="rId2" Type="http://schemas.openxmlformats.org/officeDocument/2006/relationships/hyperlink" Target="https://www.antidiskriminierungsstelle.steiermark.at/cms/beitrag/11665664/74204238" TargetMode="External"/><Relationship Id="rId1" Type="http://schemas.openxmlformats.org/officeDocument/2006/relationships/hyperlink" Target="http://www.antidiskriminierungsstelle.de/SharedDocs/Downloads/DE/publikationen/BT_Bericht/Gemeinsamer_Bericht_zweiter_2013.pdf?__blob=publicationFile" TargetMode="External"/><Relationship Id="rId6" Type="http://schemas.openxmlformats.org/officeDocument/2006/relationships/hyperlink" Target="http://www.antidiskriminierungsstelle.de/SharedDocs/Downloads/DE/publikationen/BT_Bericht/Gemeinsamer_Bericht_zweiter_2013.pdf?__blob=publicationFile" TargetMode="External"/><Relationship Id="rId5" Type="http://schemas.openxmlformats.org/officeDocument/2006/relationships/hyperlink" Target="https://www.antidiskriminierungsstelle.de/SharedDocs/Kurzmeldungen/DE/2013/nl_06_2013/nl_06_studien_und_veroeffentlichungen_03.html" TargetMode="External"/><Relationship Id="rId10" Type="http://schemas.openxmlformats.org/officeDocument/2006/relationships/hyperlink" Target="https://www.deutschlandfunkkultur.de/berliner-antidiskriminierungsgesetz-die-soziale-herkunft.1008.de.html?dram:article_id=477956" TargetMode="External"/><Relationship Id="rId4" Type="http://schemas.openxmlformats.org/officeDocument/2006/relationships/hyperlink" Target="https://www.humanrights.ch/de/ipf/menschenrechte/diskriminierung/diskriminierungsverbot-dossier/internationale-normen/europaeische-union/" TargetMode="External"/><Relationship Id="rId9" Type="http://schemas.openxmlformats.org/officeDocument/2006/relationships/hyperlink" Target="https://www.berlin.de/sen/lads/recht/ladg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1B8CD-ED18-41D9-9E7A-822281EC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 Polaschek</dc:creator>
  <cp:keywords/>
  <dc:description/>
  <cp:lastModifiedBy>Windows User</cp:lastModifiedBy>
  <cp:revision>3</cp:revision>
  <dcterms:created xsi:type="dcterms:W3CDTF">2020-10-23T15:13:00Z</dcterms:created>
  <dcterms:modified xsi:type="dcterms:W3CDTF">2020-10-23T15:18:00Z</dcterms:modified>
</cp:coreProperties>
</file>