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before="0" w:after="0"/>
        <w:rPr>
          <w:rFonts w:ascii="arial" w:hAnsi="arial" w:cs="Arial"/>
          <w:sz w:val="24"/>
          <w:szCs w:val="24"/>
        </w:rPr>
      </w:pPr>
      <w:r>
        <w:rPr>
          <w:rFonts w:cs="Arial" w:ascii="arial" w:hAnsi="arial"/>
          <w:sz w:val="24"/>
          <w:szCs w:val="24"/>
        </w:rPr>
        <w:drawing>
          <wp:anchor behindDoc="0" distT="0" distB="0" distL="0" distR="0" simplePos="0" locked="0" layoutInCell="1" allowOverlap="1" relativeHeight="2">
            <wp:simplePos x="0" y="0"/>
            <wp:positionH relativeFrom="column">
              <wp:posOffset>4188460</wp:posOffset>
            </wp:positionH>
            <wp:positionV relativeFrom="paragraph">
              <wp:posOffset>-170180</wp:posOffset>
            </wp:positionV>
            <wp:extent cx="2117725" cy="1016000"/>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223" t="-457" r="-223" b="-457"/>
                    <a:stretch>
                      <a:fillRect/>
                    </a:stretch>
                  </pic:blipFill>
                  <pic:spPr bwMode="auto">
                    <a:xfrm>
                      <a:off x="0" y="0"/>
                      <a:ext cx="2117725" cy="1016000"/>
                    </a:xfrm>
                    <a:prstGeom prst="rect">
                      <a:avLst/>
                    </a:prstGeom>
                  </pic:spPr>
                </pic:pic>
              </a:graphicData>
            </a:graphic>
          </wp:anchor>
        </w:drawing>
      </w:r>
    </w:p>
    <w:p>
      <w:pPr>
        <w:pStyle w:val="Normal"/>
        <w:spacing w:lineRule="auto" w:line="360" w:before="0" w:after="0"/>
        <w:rPr>
          <w:rFonts w:ascii="arial" w:hAnsi="arial" w:cs="Arial"/>
          <w:sz w:val="24"/>
          <w:szCs w:val="24"/>
        </w:rPr>
      </w:pPr>
      <w:r>
        <w:rPr>
          <w:rFonts w:cs="Arial" w:ascii="arial" w:hAnsi="arial"/>
          <w:sz w:val="24"/>
          <w:szCs w:val="24"/>
        </w:rPr>
      </w:r>
    </w:p>
    <w:p>
      <w:pPr>
        <w:pStyle w:val="Normal"/>
        <w:spacing w:lineRule="auto" w:line="360" w:before="0" w:after="0"/>
        <w:rPr>
          <w:rFonts w:ascii="arial" w:hAnsi="arial" w:cs="Arial"/>
          <w:sz w:val="24"/>
          <w:szCs w:val="24"/>
        </w:rPr>
      </w:pPr>
      <w:r>
        <w:rPr>
          <w:rFonts w:cs="Arial" w:ascii="arial" w:hAnsi="arial"/>
          <w:sz w:val="24"/>
          <w:szCs w:val="24"/>
        </w:rPr>
      </w:r>
    </w:p>
    <w:p>
      <w:pPr>
        <w:pStyle w:val="Normal"/>
        <w:spacing w:lineRule="auto" w:line="360" w:before="0" w:after="0"/>
        <w:rPr>
          <w:rFonts w:ascii="arial" w:hAnsi="arial" w:cs="Arial"/>
          <w:sz w:val="24"/>
          <w:szCs w:val="24"/>
        </w:rPr>
      </w:pPr>
      <w:r>
        <w:rPr>
          <w:rFonts w:cs="Arial" w:ascii="arial" w:hAnsi="arial"/>
          <w:sz w:val="24"/>
          <w:szCs w:val="24"/>
        </w:rPr>
      </w:r>
    </w:p>
    <w:p>
      <w:pPr>
        <w:pStyle w:val="Normal"/>
        <w:spacing w:lineRule="auto" w:line="360" w:before="0" w:after="0"/>
        <w:rPr>
          <w:rFonts w:ascii="arial" w:hAnsi="arial" w:eastAsia="FreeSans;Yu Gothic" w:cs="Arial"/>
          <w:sz w:val="24"/>
          <w:szCs w:val="24"/>
        </w:rPr>
      </w:pPr>
      <w:r>
        <w:rPr>
          <w:rFonts w:eastAsia="FreeSans;Yu Gothic" w:cs="Arial" w:ascii="arial" w:hAnsi="arial"/>
          <w:sz w:val="24"/>
          <w:szCs w:val="24"/>
        </w:rPr>
        <w:t>Antrag 04</w:t>
      </w:r>
    </w:p>
    <w:p>
      <w:pPr>
        <w:pStyle w:val="Normal"/>
        <w:spacing w:lineRule="auto" w:line="360" w:before="0" w:after="0"/>
        <w:rPr>
          <w:rFonts w:ascii="arial" w:hAnsi="arial" w:cs="Arial"/>
          <w:sz w:val="24"/>
          <w:szCs w:val="24"/>
        </w:rPr>
      </w:pPr>
      <w:r>
        <w:rPr>
          <w:rFonts w:cs="Arial" w:ascii="arial" w:hAnsi="arial"/>
          <w:sz w:val="24"/>
          <w:szCs w:val="24"/>
        </w:rPr>
      </w:r>
    </w:p>
    <w:p>
      <w:pPr>
        <w:pStyle w:val="Normal"/>
        <w:spacing w:lineRule="auto" w:line="360" w:before="0" w:after="0"/>
        <w:rPr>
          <w:rFonts w:ascii="arial" w:hAnsi="arial"/>
        </w:rPr>
      </w:pPr>
      <w:r>
        <w:rPr>
          <w:rFonts w:cs="Arial" w:ascii="arial" w:hAnsi="arial"/>
          <w:sz w:val="24"/>
          <w:szCs w:val="24"/>
        </w:rPr>
        <w:t>der</w:t>
      </w:r>
      <w:r>
        <w:rPr>
          <w:rFonts w:eastAsia="FreeSans;Yu Gothic" w:cs="Arial" w:ascii="arial" w:hAnsi="arial"/>
          <w:sz w:val="24"/>
          <w:szCs w:val="24"/>
        </w:rPr>
        <w:t xml:space="preserve"> </w:t>
      </w:r>
      <w:r>
        <w:rPr>
          <w:rFonts w:cs="Arial" w:ascii="arial" w:hAnsi="arial"/>
          <w:b/>
          <w:sz w:val="24"/>
          <w:szCs w:val="24"/>
        </w:rPr>
        <w:t>AUGE/UG</w:t>
      </w:r>
      <w:r>
        <w:rPr>
          <w:rFonts w:eastAsia="FreeSans;Yu Gothic" w:cs="Arial" w:ascii="arial" w:hAnsi="arial"/>
          <w:b/>
          <w:sz w:val="24"/>
          <w:szCs w:val="24"/>
        </w:rPr>
        <w:t xml:space="preserve"> </w:t>
      </w:r>
      <w:r>
        <w:rPr>
          <w:rFonts w:cs="Arial" w:ascii="arial" w:hAnsi="arial"/>
          <w:b/>
          <w:sz w:val="24"/>
          <w:szCs w:val="24"/>
        </w:rPr>
        <w:t>-</w:t>
      </w:r>
    </w:p>
    <w:p>
      <w:pPr>
        <w:pStyle w:val="Normal"/>
        <w:spacing w:lineRule="auto" w:line="360" w:before="0" w:after="0"/>
        <w:rPr>
          <w:rFonts w:ascii="arial" w:hAnsi="arial"/>
        </w:rPr>
      </w:pPr>
      <w:r>
        <w:rPr>
          <w:rFonts w:cs="Arial" w:ascii="arial" w:hAnsi="arial"/>
          <w:b/>
          <w:bCs/>
          <w:sz w:val="24"/>
          <w:szCs w:val="24"/>
        </w:rPr>
        <w:t>Alternative,</w:t>
      </w:r>
      <w:r>
        <w:rPr>
          <w:rFonts w:eastAsia="FreeSans;Yu Gothic" w:cs="Arial" w:ascii="arial" w:hAnsi="arial"/>
          <w:b/>
          <w:bCs/>
          <w:sz w:val="24"/>
          <w:szCs w:val="24"/>
        </w:rPr>
        <w:t xml:space="preserve"> </w:t>
      </w:r>
      <w:r>
        <w:rPr>
          <w:rFonts w:cs="Arial" w:ascii="arial" w:hAnsi="arial"/>
          <w:b/>
          <w:bCs/>
          <w:sz w:val="24"/>
          <w:szCs w:val="24"/>
        </w:rPr>
        <w:t>Grüne</w:t>
      </w:r>
      <w:r>
        <w:rPr>
          <w:rFonts w:eastAsia="FreeSans;Yu Gothic" w:cs="Arial" w:ascii="arial" w:hAnsi="arial"/>
          <w:b/>
          <w:bCs/>
          <w:sz w:val="24"/>
          <w:szCs w:val="24"/>
        </w:rPr>
        <w:t xml:space="preserve"> und Unabhängige </w:t>
      </w:r>
      <w:r>
        <w:rPr>
          <w:rFonts w:cs="Arial" w:ascii="arial" w:hAnsi="arial"/>
          <w:b/>
          <w:bCs/>
          <w:sz w:val="24"/>
          <w:szCs w:val="24"/>
        </w:rPr>
        <w:t>GewerkschafterInnen</w:t>
      </w:r>
    </w:p>
    <w:p>
      <w:pPr>
        <w:pStyle w:val="Antragberschrift"/>
        <w:spacing w:lineRule="auto" w:line="360" w:before="0" w:after="0"/>
        <w:rPr>
          <w:rFonts w:ascii="arial" w:hAnsi="arial" w:cs="Arial"/>
          <w:b/>
          <w:b/>
          <w:sz w:val="24"/>
          <w:szCs w:val="24"/>
        </w:rPr>
      </w:pPr>
      <w:r>
        <w:rPr>
          <w:rFonts w:cs="Arial" w:ascii="arial" w:hAnsi="arial"/>
          <w:b/>
          <w:sz w:val="24"/>
          <w:szCs w:val="24"/>
        </w:rPr>
      </w:r>
    </w:p>
    <w:p>
      <w:pPr>
        <w:pStyle w:val="Normal"/>
        <w:spacing w:lineRule="auto" w:line="360" w:before="0" w:after="0"/>
        <w:rPr>
          <w:rFonts w:ascii="arial" w:hAnsi="arial"/>
        </w:rPr>
      </w:pPr>
      <w:r>
        <w:rPr>
          <w:rFonts w:cs="Arial" w:ascii="arial" w:hAnsi="arial"/>
          <w:sz w:val="24"/>
          <w:szCs w:val="24"/>
        </w:rPr>
        <w:t>zur</w:t>
      </w:r>
      <w:r>
        <w:rPr>
          <w:rFonts w:eastAsia="FreeSans;Yu Gothic" w:cs="Arial" w:ascii="arial" w:hAnsi="arial"/>
          <w:sz w:val="24"/>
          <w:szCs w:val="24"/>
        </w:rPr>
        <w:t xml:space="preserve"> 175</w:t>
      </w:r>
      <w:r>
        <w:rPr>
          <w:rFonts w:cs="Arial" w:ascii="arial" w:hAnsi="arial"/>
          <w:sz w:val="24"/>
          <w:szCs w:val="24"/>
        </w:rPr>
        <w:t>.</w:t>
      </w:r>
      <w:r>
        <w:rPr>
          <w:rFonts w:eastAsia="FreeSans;Yu Gothic" w:cs="Arial" w:ascii="arial" w:hAnsi="arial"/>
          <w:sz w:val="24"/>
          <w:szCs w:val="24"/>
        </w:rPr>
        <w:t xml:space="preserve"> Vollversammlung </w:t>
      </w:r>
      <w:r>
        <w:rPr>
          <w:rFonts w:cs="Arial" w:ascii="arial" w:hAnsi="arial"/>
          <w:sz w:val="24"/>
          <w:szCs w:val="24"/>
        </w:rPr>
        <w:t>der</w:t>
      </w:r>
      <w:r>
        <w:rPr>
          <w:rFonts w:eastAsia="FreeSans;Yu Gothic" w:cs="Arial" w:ascii="arial" w:hAnsi="arial"/>
          <w:sz w:val="24"/>
          <w:szCs w:val="24"/>
        </w:rPr>
        <w:t xml:space="preserve"> A</w:t>
      </w:r>
      <w:r>
        <w:rPr>
          <w:rFonts w:cs="Arial" w:ascii="arial" w:hAnsi="arial"/>
          <w:sz w:val="24"/>
          <w:szCs w:val="24"/>
        </w:rPr>
        <w:t>rbeiterkammer</w:t>
      </w:r>
      <w:r>
        <w:rPr>
          <w:rFonts w:eastAsia="FreeSans;Yu Gothic" w:cs="Arial" w:ascii="arial" w:hAnsi="arial"/>
          <w:sz w:val="24"/>
          <w:szCs w:val="24"/>
        </w:rPr>
        <w:t xml:space="preserve"> </w:t>
      </w:r>
      <w:r>
        <w:rPr>
          <w:rFonts w:cs="Arial" w:ascii="arial" w:hAnsi="arial"/>
          <w:sz w:val="24"/>
          <w:szCs w:val="24"/>
        </w:rPr>
        <w:t>Wien</w:t>
      </w:r>
    </w:p>
    <w:p>
      <w:pPr>
        <w:pStyle w:val="Normal"/>
        <w:spacing w:lineRule="auto" w:line="360" w:before="0" w:after="0"/>
        <w:rPr>
          <w:rFonts w:ascii="arial" w:hAnsi="arial"/>
        </w:rPr>
      </w:pPr>
      <w:r>
        <w:rPr>
          <w:rFonts w:cs="Arial" w:ascii="arial" w:hAnsi="arial"/>
          <w:sz w:val="24"/>
          <w:szCs w:val="24"/>
        </w:rPr>
        <w:t>am</w:t>
      </w:r>
      <w:r>
        <w:rPr>
          <w:rFonts w:eastAsia="FreeSans;Yu Gothic" w:cs="Arial" w:ascii="arial" w:hAnsi="arial"/>
          <w:sz w:val="24"/>
          <w:szCs w:val="24"/>
        </w:rPr>
        <w:t xml:space="preserve"> 5. Mai 2021</w:t>
      </w:r>
    </w:p>
    <w:p>
      <w:pPr>
        <w:pStyle w:val="Normal"/>
        <w:spacing w:lineRule="auto" w:line="360" w:before="0" w:after="0"/>
        <w:rPr>
          <w:rFonts w:ascii="arial" w:hAnsi="arial" w:cs="Arial"/>
          <w:b/>
          <w:b/>
          <w:bCs/>
          <w:sz w:val="24"/>
          <w:szCs w:val="24"/>
        </w:rPr>
      </w:pPr>
      <w:r>
        <w:rPr>
          <w:rFonts w:cs="Arial" w:ascii="arial" w:hAnsi="arial"/>
          <w:b/>
          <w:bCs/>
          <w:sz w:val="24"/>
          <w:szCs w:val="24"/>
        </w:rPr>
      </w:r>
    </w:p>
    <w:p>
      <w:pPr>
        <w:pStyle w:val="Normal"/>
        <w:rPr>
          <w:rFonts w:ascii="arial" w:hAnsi="arial"/>
        </w:rPr>
      </w:pPr>
      <w:r>
        <w:rPr>
          <w:rFonts w:cs="Arial" w:ascii="arial" w:hAnsi="arial"/>
          <w:b/>
          <w:bCs/>
          <w:sz w:val="24"/>
          <w:szCs w:val="24"/>
        </w:rPr>
        <w:t>Erweiterung der Betriebsdemokratie an Universitäten - Betriebsräte in den Universitätsrat aufnehmen</w:t>
      </w:r>
    </w:p>
    <w:p>
      <w:pPr>
        <w:pStyle w:val="Normal"/>
        <w:rPr>
          <w:rFonts w:ascii="arial" w:hAnsi="arial" w:cs="Arial"/>
          <w:b/>
          <w:b/>
          <w:bCs/>
          <w:sz w:val="24"/>
          <w:szCs w:val="24"/>
        </w:rPr>
      </w:pPr>
      <w:r>
        <w:rPr>
          <w:rFonts w:cs="Arial" w:ascii="arial" w:hAnsi="arial"/>
          <w:b/>
          <w:bCs/>
          <w:sz w:val="24"/>
          <w:szCs w:val="24"/>
        </w:rPr>
      </w:r>
    </w:p>
    <w:p>
      <w:pPr>
        <w:pStyle w:val="Normal"/>
        <w:rPr>
          <w:rFonts w:ascii="arial" w:hAnsi="arial"/>
        </w:rPr>
      </w:pPr>
      <w:r>
        <w:rPr>
          <w:rFonts w:cs="Arial" w:ascii="arial" w:hAnsi="arial"/>
          <w:sz w:val="24"/>
          <w:szCs w:val="24"/>
        </w:rPr>
        <w:t xml:space="preserve">Anders als in Aufsichtsräten sind Betriebsräte laut </w:t>
      </w:r>
      <w:r>
        <w:rPr>
          <w:rFonts w:cs="Arial" w:ascii="arial" w:hAnsi="arial"/>
          <w:b/>
          <w:bCs/>
          <w:sz w:val="24"/>
          <w:szCs w:val="24"/>
        </w:rPr>
        <w:t xml:space="preserve">§21 UG 2002 </w:t>
      </w:r>
      <w:r>
        <w:rPr>
          <w:rFonts w:cs="Arial" w:ascii="arial" w:hAnsi="arial"/>
          <w:sz w:val="24"/>
          <w:szCs w:val="24"/>
        </w:rPr>
        <w:t xml:space="preserve">(auch in der aktuellen Novelle!) keine Mitglieder des Universitätsrats. Universitäten sind wichtige Arbeitgeber*innen ihrer Regionen als Mittel- oder sogar Großbetriebe. Innerbetriebliche Demokratie, die sich bewährt hat, ist ein Stabilitätsfaktor. </w:t>
      </w:r>
    </w:p>
    <w:p>
      <w:pPr>
        <w:pStyle w:val="Normal"/>
        <w:rPr>
          <w:rFonts w:ascii="arial" w:hAnsi="arial"/>
        </w:rPr>
      </w:pPr>
      <w:r>
        <w:rPr>
          <w:rFonts w:cs="Arial" w:ascii="arial" w:hAnsi="arial"/>
          <w:sz w:val="24"/>
          <w:szCs w:val="24"/>
        </w:rPr>
        <w:t>Im Universitätsrat wird jedenfalls über betriebswirksame Maßnahmen entschieden, die sowohl wirtschaftliche als auch personalstrategische Auswirkungen haben:</w:t>
      </w:r>
    </w:p>
    <w:p>
      <w:pPr>
        <w:pStyle w:val="Berschrift5"/>
        <w:numPr>
          <w:ilvl w:val="4"/>
          <w:numId w:val="1"/>
        </w:numPr>
        <w:rPr>
          <w:rFonts w:ascii="arial" w:hAnsi="arial" w:cs="Arial"/>
          <w:color w:val="000000"/>
          <w:sz w:val="24"/>
          <w:szCs w:val="24"/>
        </w:rPr>
      </w:pPr>
      <w:r>
        <w:rPr>
          <w:rFonts w:cs="Arial" w:ascii="arial" w:hAnsi="arial"/>
          <w:color w:val="000000"/>
          <w:sz w:val="24"/>
          <w:szCs w:val="24"/>
        </w:rPr>
        <w:t>§ 21.</w:t>
      </w:r>
    </w:p>
    <w:p>
      <w:pPr>
        <w:pStyle w:val="Textkrper"/>
        <w:pBdr/>
        <w:spacing w:before="80" w:after="0"/>
        <w:ind w:firstLine="397"/>
        <w:jc w:val="both"/>
        <w:rPr>
          <w:rFonts w:ascii="arial" w:hAnsi="arial"/>
        </w:rPr>
      </w:pPr>
      <w:r>
        <w:rPr>
          <w:rFonts w:cs="Arial" w:ascii="arial" w:hAnsi="arial"/>
          <w:color w:val="000000"/>
          <w:sz w:val="24"/>
          <w:szCs w:val="24"/>
        </w:rPr>
        <w:t> </w:t>
      </w:r>
      <w:r>
        <w:rPr>
          <w:rFonts w:cs="Arial" w:ascii="arial" w:hAnsi="arial"/>
          <w:color w:val="000000"/>
          <w:sz w:val="24"/>
          <w:szCs w:val="24"/>
        </w:rPr>
        <w:t>(1) Der Universitätsrat hat in seiner Funktion als begleitend und vorausschauend tätiges Aufsichtsorgan folgende Aufgaben:</w:t>
      </w:r>
    </w:p>
    <w:p>
      <w:pPr>
        <w:pStyle w:val="TabellenInhalt"/>
        <w:rPr>
          <w:rFonts w:ascii="arial" w:hAnsi="arial" w:cs="Arial"/>
          <w:sz w:val="24"/>
          <w:szCs w:val="24"/>
        </w:rPr>
      </w:pPr>
      <w:r>
        <w:rPr>
          <w:rFonts w:cs="Arial" w:ascii="arial" w:hAnsi="arial"/>
          <w:sz w:val="24"/>
          <w:szCs w:val="24"/>
        </w:rPr>
        <w:tab/>
        <w:tab/>
        <w:tab/>
        <w:tab/>
        <w:tab/>
        <w:tab/>
        <w:tab/>
        <w:tab/>
        <w:tab/>
        <w:tab/>
      </w:r>
    </w:p>
    <w:p>
      <w:pPr>
        <w:pStyle w:val="TabellenInhalt"/>
        <w:pBdr/>
        <w:spacing w:before="40" w:after="0"/>
        <w:rPr>
          <w:rFonts w:ascii="arial" w:hAnsi="arial"/>
        </w:rPr>
      </w:pPr>
      <w:r>
        <w:rPr>
          <w:rFonts w:cs="Arial" w:ascii="arial" w:hAnsi="arial"/>
          <w:color w:val="000000"/>
          <w:sz w:val="24"/>
          <w:szCs w:val="24"/>
        </w:rPr>
        <w:t>1.</w:t>
      </w:r>
      <w:r>
        <w:rPr>
          <w:rFonts w:eastAsia="inherit" w:cs="Arial" w:ascii="arial" w:hAnsi="arial"/>
          <w:color w:val="000000"/>
          <w:sz w:val="24"/>
          <w:szCs w:val="24"/>
        </w:rPr>
        <w:tab/>
      </w:r>
      <w:r>
        <w:rPr>
          <w:rFonts w:cs="Arial" w:ascii="arial" w:hAnsi="arial"/>
          <w:color w:val="000000"/>
          <w:sz w:val="24"/>
          <w:szCs w:val="24"/>
        </w:rPr>
        <w:t>Genehmigung des Entwicklungsplans, des Organisationsplans, des Entwurfs der Leistungsvereinbarung sowie der Geschäftsordnung des Rektorats;</w:t>
      </w:r>
    </w:p>
    <w:p>
      <w:pPr>
        <w:pStyle w:val="TabellenInhalt"/>
        <w:pBdr/>
        <w:spacing w:before="40" w:after="0"/>
        <w:rPr>
          <w:rFonts w:ascii="arial" w:hAnsi="arial"/>
        </w:rPr>
      </w:pPr>
      <w:r>
        <w:rPr>
          <w:rFonts w:cs="Arial" w:ascii="arial" w:hAnsi="arial"/>
          <w:color w:val="000000"/>
          <w:sz w:val="24"/>
          <w:szCs w:val="24"/>
        </w:rPr>
        <w:t>2.</w:t>
      </w:r>
      <w:r>
        <w:rPr>
          <w:rFonts w:eastAsia="inherit" w:cs="Arial" w:ascii="arial" w:hAnsi="arial"/>
          <w:color w:val="000000"/>
          <w:sz w:val="24"/>
          <w:szCs w:val="24"/>
        </w:rPr>
        <w:tab/>
      </w:r>
      <w:r>
        <w:rPr>
          <w:rFonts w:cs="Arial" w:ascii="arial" w:hAnsi="arial"/>
          <w:color w:val="000000"/>
          <w:sz w:val="24"/>
          <w:szCs w:val="24"/>
        </w:rPr>
        <w:t>Ausschreibung der Funktion der Rektorin oder des Rektors spätestens acht Monate vor dem voraussichtlichen Freiwerden dieser Funktion bzw. innerhalb von drei Monaten ab dem Zeitpunkt der Abberufung oder des Rücktritts;</w:t>
      </w:r>
    </w:p>
    <w:p>
      <w:pPr>
        <w:pStyle w:val="TabellenInhalt"/>
        <w:pBdr/>
        <w:spacing w:before="40" w:after="0"/>
        <w:rPr>
          <w:rFonts w:ascii="arial" w:hAnsi="arial"/>
        </w:rPr>
      </w:pPr>
      <w:r>
        <w:rPr>
          <w:rFonts w:cs="Arial" w:ascii="arial" w:hAnsi="arial"/>
          <w:color w:val="000000"/>
          <w:sz w:val="24"/>
          <w:szCs w:val="24"/>
        </w:rPr>
        <w:t>3.</w:t>
      </w:r>
      <w:r>
        <w:rPr>
          <w:rFonts w:eastAsia="inherit" w:cs="Arial" w:ascii="arial" w:hAnsi="arial"/>
          <w:color w:val="000000"/>
          <w:sz w:val="24"/>
          <w:szCs w:val="24"/>
        </w:rPr>
        <w:tab/>
      </w:r>
      <w:r>
        <w:rPr>
          <w:rFonts w:cs="Arial" w:ascii="arial" w:hAnsi="arial"/>
          <w:color w:val="000000"/>
          <w:sz w:val="24"/>
          <w:szCs w:val="24"/>
        </w:rPr>
        <w:t>Erlassung der Bestimmungen für die Wahl der Rektorin oder des Rektors nach Einholung einer Stellungnahme des Senates, die dieser innerhalb von vier Wochen nach Vorlage abzugeben hat;</w:t>
      </w:r>
    </w:p>
    <w:p>
      <w:pPr>
        <w:pStyle w:val="TabellenInhalt"/>
        <w:pBdr/>
        <w:spacing w:before="40" w:after="0"/>
        <w:rPr>
          <w:rFonts w:ascii="arial" w:hAnsi="arial"/>
        </w:rPr>
      </w:pPr>
      <w:r>
        <w:rPr>
          <w:rFonts w:cs="Arial" w:ascii="arial" w:hAnsi="arial"/>
          <w:color w:val="000000"/>
          <w:sz w:val="24"/>
          <w:szCs w:val="24"/>
        </w:rPr>
        <w:t>4.</w:t>
      </w:r>
      <w:r>
        <w:rPr>
          <w:rFonts w:eastAsia="inherit" w:cs="Arial" w:ascii="arial" w:hAnsi="arial"/>
          <w:color w:val="000000"/>
          <w:sz w:val="24"/>
          <w:szCs w:val="24"/>
        </w:rPr>
        <w:tab/>
      </w:r>
      <w:r>
        <w:rPr>
          <w:rFonts w:cs="Arial" w:ascii="arial" w:hAnsi="arial"/>
          <w:color w:val="000000"/>
          <w:sz w:val="24"/>
          <w:szCs w:val="24"/>
        </w:rPr>
        <w:t>Wahl der Rektorin oder des Rektors aus dem Dreiervorschlag des Senats innerhalb von vier Wochen ab Vorlage des Vorschlags;</w:t>
      </w:r>
    </w:p>
    <w:p>
      <w:pPr>
        <w:pStyle w:val="TabellenInhalt"/>
        <w:pBdr/>
        <w:spacing w:before="40" w:after="0"/>
        <w:rPr>
          <w:rFonts w:ascii="arial" w:hAnsi="arial"/>
        </w:rPr>
      </w:pPr>
      <w:r>
        <w:rPr>
          <w:rFonts w:cs="Arial" w:ascii="arial" w:hAnsi="arial"/>
          <w:color w:val="000000"/>
          <w:sz w:val="24"/>
          <w:szCs w:val="24"/>
        </w:rPr>
        <w:t>5.</w:t>
      </w:r>
      <w:r>
        <w:rPr>
          <w:rFonts w:eastAsia="inherit" w:cs="Arial" w:ascii="arial" w:hAnsi="arial"/>
          <w:color w:val="000000"/>
          <w:sz w:val="24"/>
          <w:szCs w:val="24"/>
        </w:rPr>
        <w:tab/>
      </w:r>
      <w:r>
        <w:rPr>
          <w:rFonts w:cs="Arial" w:ascii="arial" w:hAnsi="arial"/>
          <w:color w:val="000000"/>
          <w:sz w:val="24"/>
          <w:szCs w:val="24"/>
        </w:rPr>
        <w:t>Wahl der Vizerektorinnen und Vizerektoren auf Grund eines Vorschlags der Rektorin oder des Rektors und nach Stellungnahme des Senats;</w:t>
      </w:r>
    </w:p>
    <w:p>
      <w:pPr>
        <w:pStyle w:val="TabellenInhalt"/>
        <w:pBdr/>
        <w:spacing w:before="40" w:after="0"/>
        <w:rPr>
          <w:rFonts w:ascii="arial" w:hAnsi="arial"/>
        </w:rPr>
      </w:pPr>
      <w:r>
        <w:rPr>
          <w:rFonts w:cs="Arial" w:ascii="arial" w:hAnsi="arial"/>
          <w:color w:val="000000"/>
          <w:sz w:val="24"/>
          <w:szCs w:val="24"/>
        </w:rPr>
        <w:t>6.</w:t>
      </w:r>
      <w:r>
        <w:rPr>
          <w:rFonts w:eastAsia="inherit" w:cs="Arial" w:ascii="arial" w:hAnsi="arial"/>
          <w:color w:val="000000"/>
          <w:sz w:val="24"/>
          <w:szCs w:val="24"/>
        </w:rPr>
        <w:tab/>
      </w:r>
      <w:r>
        <w:rPr>
          <w:rFonts w:cs="Arial" w:ascii="arial" w:hAnsi="arial"/>
          <w:color w:val="000000"/>
          <w:sz w:val="24"/>
          <w:szCs w:val="24"/>
        </w:rPr>
        <w:t>Abschluss der Zielvereinbarungen mit der Rektorin oder dem Rektor und dem Rektorat;</w:t>
      </w:r>
    </w:p>
    <w:p>
      <w:pPr>
        <w:pStyle w:val="TabellenInhalt"/>
        <w:pBdr/>
        <w:spacing w:before="40" w:after="0"/>
        <w:rPr>
          <w:rFonts w:ascii="arial" w:hAnsi="arial"/>
        </w:rPr>
      </w:pPr>
      <w:r>
        <w:rPr>
          <w:rFonts w:cs="Arial" w:ascii="arial" w:hAnsi="arial"/>
          <w:color w:val="000000"/>
          <w:sz w:val="24"/>
          <w:szCs w:val="24"/>
        </w:rPr>
        <w:t>6a.</w:t>
      </w:r>
      <w:r>
        <w:rPr>
          <w:rFonts w:eastAsia="inherit" w:cs="Arial" w:ascii="arial" w:hAnsi="arial"/>
          <w:color w:val="000000"/>
          <w:sz w:val="24"/>
          <w:szCs w:val="24"/>
        </w:rPr>
        <w:tab/>
      </w:r>
      <w:r>
        <w:rPr>
          <w:rFonts w:cs="Arial" w:ascii="arial" w:hAnsi="arial"/>
          <w:color w:val="000000"/>
          <w:sz w:val="24"/>
          <w:szCs w:val="24"/>
        </w:rPr>
        <w:t>Abschluss der Arbeitsverträge mit der Rektorin oder dem Rektor und den Vizerektorinnen und Vizerektoren;</w:t>
      </w:r>
    </w:p>
    <w:p>
      <w:pPr>
        <w:pStyle w:val="TabellenInhalt"/>
        <w:pBdr/>
        <w:spacing w:before="40" w:after="0"/>
        <w:rPr>
          <w:rFonts w:ascii="arial" w:hAnsi="arial"/>
        </w:rPr>
      </w:pPr>
      <w:r>
        <w:rPr>
          <w:rFonts w:cs="Arial" w:ascii="arial" w:hAnsi="arial"/>
          <w:color w:val="000000"/>
          <w:sz w:val="24"/>
          <w:szCs w:val="24"/>
        </w:rPr>
        <w:t>7.</w:t>
      </w:r>
      <w:r>
        <w:rPr>
          <w:rFonts w:eastAsia="inherit" w:cs="Arial" w:ascii="arial" w:hAnsi="arial"/>
          <w:color w:val="000000"/>
          <w:sz w:val="24"/>
          <w:szCs w:val="24"/>
        </w:rPr>
        <w:tab/>
      </w:r>
      <w:r>
        <w:rPr>
          <w:rFonts w:cs="Arial" w:ascii="arial" w:hAnsi="arial"/>
          <w:color w:val="000000"/>
          <w:sz w:val="24"/>
          <w:szCs w:val="24"/>
        </w:rPr>
        <w:t>Abberufung der Rektorin oder des Rektors und der Vizerektorinnen und Vizerektoren;</w:t>
      </w:r>
    </w:p>
    <w:p>
      <w:pPr>
        <w:pStyle w:val="TabellenInhalt"/>
        <w:pBdr/>
        <w:spacing w:before="40" w:after="0"/>
        <w:rPr>
          <w:rFonts w:ascii="arial" w:hAnsi="arial"/>
        </w:rPr>
      </w:pPr>
      <w:r>
        <w:rPr>
          <w:rFonts w:cs="Arial" w:ascii="arial" w:hAnsi="arial"/>
          <w:color w:val="000000"/>
          <w:sz w:val="24"/>
          <w:szCs w:val="24"/>
        </w:rPr>
        <w:t>8.</w:t>
      </w:r>
      <w:r>
        <w:rPr>
          <w:rFonts w:eastAsia="inherit" w:cs="Arial" w:ascii="arial" w:hAnsi="arial"/>
          <w:color w:val="000000"/>
          <w:sz w:val="24"/>
          <w:szCs w:val="24"/>
        </w:rPr>
        <w:tab/>
      </w:r>
      <w:r>
        <w:rPr>
          <w:rFonts w:cs="Arial" w:ascii="arial" w:hAnsi="arial"/>
          <w:color w:val="000000"/>
          <w:sz w:val="24"/>
          <w:szCs w:val="24"/>
        </w:rPr>
        <w:t>Nominierung eines weiblichen und eines männlichen Mitglieds für die Schiedskommission;</w:t>
      </w:r>
    </w:p>
    <w:p>
      <w:pPr>
        <w:pStyle w:val="TabellenInhalt"/>
        <w:pBdr/>
        <w:spacing w:before="40" w:after="0"/>
        <w:rPr>
          <w:rFonts w:ascii="arial" w:hAnsi="arial"/>
        </w:rPr>
      </w:pPr>
      <w:r>
        <w:rPr>
          <w:rFonts w:cs="Arial" w:ascii="arial" w:hAnsi="arial"/>
          <w:color w:val="000000"/>
          <w:sz w:val="24"/>
          <w:szCs w:val="24"/>
        </w:rPr>
        <w:t>9.</w:t>
      </w:r>
      <w:r>
        <w:rPr>
          <w:rFonts w:eastAsia="inherit" w:cs="Arial" w:ascii="arial" w:hAnsi="arial"/>
          <w:color w:val="000000"/>
          <w:sz w:val="24"/>
          <w:szCs w:val="24"/>
        </w:rPr>
        <w:tab/>
      </w:r>
      <w:r>
        <w:rPr>
          <w:rFonts w:cs="Arial" w:ascii="arial" w:hAnsi="arial"/>
          <w:color w:val="000000"/>
          <w:sz w:val="24"/>
          <w:szCs w:val="24"/>
        </w:rPr>
        <w:t>Genehmigung der Gründung von Gesellschaften und Stiftungen sowie der Beteiligung an Gesellschaften;</w:t>
      </w:r>
    </w:p>
    <w:p>
      <w:pPr>
        <w:pStyle w:val="TabellenInhalt"/>
        <w:pBdr/>
        <w:spacing w:before="40" w:after="0"/>
        <w:rPr>
          <w:rFonts w:ascii="arial" w:hAnsi="arial"/>
        </w:rPr>
      </w:pPr>
      <w:r>
        <w:rPr>
          <w:rFonts w:cs="Arial" w:ascii="arial" w:hAnsi="arial"/>
          <w:color w:val="000000"/>
          <w:sz w:val="24"/>
          <w:szCs w:val="24"/>
        </w:rPr>
        <w:t>10.</w:t>
      </w:r>
      <w:r>
        <w:rPr>
          <w:rFonts w:eastAsia="inherit" w:cs="Arial" w:ascii="arial" w:hAnsi="arial"/>
          <w:color w:val="000000"/>
          <w:sz w:val="24"/>
          <w:szCs w:val="24"/>
        </w:rPr>
        <w:tab/>
      </w:r>
      <w:r>
        <w:rPr>
          <w:rFonts w:cs="Arial" w:ascii="arial" w:hAnsi="arial"/>
          <w:color w:val="000000"/>
          <w:sz w:val="24"/>
          <w:szCs w:val="24"/>
        </w:rPr>
        <w:t>Genehmigung der Richtlinien für die Gebarung sowie Genehmigung des Rechnungsabschlusses und der Wissensbilanz des Rektorats und Weiterleitung an die Bundesministerin oder den Bundesminister;</w:t>
      </w:r>
    </w:p>
    <w:p>
      <w:pPr>
        <w:pStyle w:val="TabellenInhalt"/>
        <w:pBdr/>
        <w:spacing w:before="40" w:after="0"/>
        <w:rPr>
          <w:rFonts w:ascii="arial" w:hAnsi="arial"/>
        </w:rPr>
      </w:pPr>
      <w:r>
        <w:rPr>
          <w:rFonts w:cs="Arial" w:ascii="arial" w:hAnsi="arial"/>
          <w:color w:val="000000"/>
          <w:sz w:val="24"/>
          <w:szCs w:val="24"/>
        </w:rPr>
        <w:t>11.</w:t>
      </w:r>
      <w:r>
        <w:rPr>
          <w:rFonts w:eastAsia="inherit" w:cs="Arial" w:ascii="arial" w:hAnsi="arial"/>
          <w:color w:val="000000"/>
          <w:sz w:val="24"/>
          <w:szCs w:val="24"/>
        </w:rPr>
        <w:tab/>
      </w:r>
      <w:r>
        <w:rPr>
          <w:rFonts w:cs="Arial" w:ascii="arial" w:hAnsi="arial"/>
          <w:color w:val="000000"/>
          <w:sz w:val="24"/>
          <w:szCs w:val="24"/>
        </w:rPr>
        <w:t>Bestellung einer Abschlussprüferin oder eines Abschlussprüfers zur Prüfung des Rechnungsabschlusses der Universität;</w:t>
      </w:r>
    </w:p>
    <w:p>
      <w:pPr>
        <w:pStyle w:val="TabellenInhalt"/>
        <w:pBdr/>
        <w:spacing w:before="40" w:after="0"/>
        <w:rPr>
          <w:rFonts w:ascii="arial" w:hAnsi="arial"/>
        </w:rPr>
      </w:pPr>
      <w:r>
        <w:rPr>
          <w:rFonts w:cs="Arial" w:ascii="arial" w:hAnsi="arial"/>
          <w:color w:val="000000"/>
          <w:sz w:val="24"/>
          <w:szCs w:val="24"/>
        </w:rPr>
        <w:t>12.</w:t>
      </w:r>
      <w:r>
        <w:rPr>
          <w:rFonts w:eastAsia="inherit" w:cs="Arial" w:ascii="arial" w:hAnsi="arial"/>
          <w:color w:val="000000"/>
          <w:sz w:val="24"/>
          <w:szCs w:val="24"/>
        </w:rPr>
        <w:tab/>
      </w:r>
      <w:r>
        <w:rPr>
          <w:rFonts w:cs="Arial" w:ascii="arial" w:hAnsi="arial"/>
          <w:color w:val="000000"/>
          <w:sz w:val="24"/>
          <w:szCs w:val="24"/>
        </w:rPr>
        <w:t>Zustimmung zur Begründung von Verbindlichkeiten, die über die laufende Geschäftstätigkeit der Universität hinausgehen, sowie Ermächtigung des Rektorats, solche Verbindlichkeiten bis zu einer bestimmten Höhe ohne vorherige Einholung der Zustimmung des Universitätsrats einzugehen;</w:t>
      </w:r>
    </w:p>
    <w:p>
      <w:pPr>
        <w:pStyle w:val="TabellenInhalt"/>
        <w:pBdr/>
        <w:spacing w:before="40" w:after="0"/>
        <w:rPr>
          <w:rFonts w:ascii="arial" w:hAnsi="arial"/>
        </w:rPr>
      </w:pPr>
      <w:r>
        <w:rPr>
          <w:rFonts w:cs="Arial" w:ascii="arial" w:hAnsi="arial"/>
          <w:color w:val="000000"/>
          <w:sz w:val="24"/>
          <w:szCs w:val="24"/>
        </w:rPr>
        <w:t>13.</w:t>
      </w:r>
      <w:r>
        <w:rPr>
          <w:rFonts w:eastAsia="inherit" w:cs="Arial" w:ascii="arial" w:hAnsi="arial"/>
          <w:color w:val="000000"/>
          <w:sz w:val="24"/>
          <w:szCs w:val="24"/>
        </w:rPr>
        <w:tab/>
      </w:r>
      <w:r>
        <w:rPr>
          <w:rFonts w:cs="Arial" w:ascii="arial" w:hAnsi="arial"/>
          <w:color w:val="000000"/>
          <w:sz w:val="24"/>
          <w:szCs w:val="24"/>
        </w:rPr>
        <w:t>Jährliche Berichtspflicht sowie unverzügliche Berichtspflicht bei schwerwiegenden Rechtsverstößen von Universitätsorganen sowie bei Gefahr eines schweren wirtschaftlichen Schadens an die Bundesministerin oder den Bundesminister; der jährliche Bericht hat einen Bericht über die Maßnahmen im Zusammenhang mit der geschlechtergerechten Zusammensetzung der universitären Kollegialorgane gemäß § 20a, gegebenenfalls eine Begründung über das Nichteinhalten dieser Bestimmung sowie einen Bericht darüber zu enthalten, welche Maßnahmen die Universität zur Umsetzung dieser Bestimmung plant; der jährliche Bericht ist auch dem Senat zur Kenntnis zu bringen;</w:t>
      </w:r>
    </w:p>
    <w:p>
      <w:pPr>
        <w:pStyle w:val="TabellenInhalt"/>
        <w:pBdr/>
        <w:spacing w:before="40" w:after="0"/>
        <w:rPr>
          <w:rFonts w:ascii="arial" w:hAnsi="arial"/>
        </w:rPr>
      </w:pPr>
      <w:r>
        <w:rPr>
          <w:rFonts w:cs="Arial" w:ascii="arial" w:hAnsi="arial"/>
          <w:color w:val="000000"/>
          <w:sz w:val="24"/>
          <w:szCs w:val="24"/>
        </w:rPr>
        <w:t>14.</w:t>
      </w:r>
      <w:r>
        <w:rPr>
          <w:rFonts w:eastAsia="inherit" w:cs="Arial" w:ascii="arial" w:hAnsi="arial"/>
          <w:color w:val="000000"/>
          <w:sz w:val="24"/>
          <w:szCs w:val="24"/>
        </w:rPr>
        <w:tab/>
      </w:r>
      <w:r>
        <w:rPr>
          <w:rFonts w:cs="Arial" w:ascii="arial" w:hAnsi="arial"/>
          <w:color w:val="000000"/>
          <w:sz w:val="24"/>
          <w:szCs w:val="24"/>
        </w:rPr>
        <w:t>Zustimmung zum Budgetvoranschlag innerhalb von vier Wochen ab Vorlage durch das Rektorat; verweigert der Universitätsrat innerhalb von vier Wochen ab Vorlage die Zustimmung, hat das Rektorat unverzüglich einen neuen Budgetvoranschlag vorzulegen; stimmt der Universitätsrat nicht fristgerecht zu, gilt der Budgetvoranschlag als genehmigt;</w:t>
      </w:r>
    </w:p>
    <w:p>
      <w:pPr>
        <w:pStyle w:val="TabellenInhalt"/>
        <w:pBdr/>
        <w:spacing w:before="40" w:after="0"/>
        <w:rPr>
          <w:rFonts w:ascii="arial" w:hAnsi="arial"/>
        </w:rPr>
      </w:pPr>
      <w:r>
        <w:rPr>
          <w:rFonts w:cs="Arial" w:ascii="arial" w:hAnsi="arial"/>
          <w:color w:val="000000"/>
          <w:sz w:val="24"/>
          <w:szCs w:val="24"/>
        </w:rPr>
        <w:t>15.</w:t>
      </w:r>
      <w:r>
        <w:rPr>
          <w:rFonts w:eastAsia="inherit" w:cs="Arial" w:ascii="arial" w:hAnsi="arial"/>
          <w:color w:val="000000"/>
          <w:sz w:val="24"/>
          <w:szCs w:val="24"/>
        </w:rPr>
        <w:tab/>
      </w:r>
      <w:r>
        <w:rPr>
          <w:rFonts w:cs="Arial" w:ascii="arial" w:hAnsi="arial"/>
          <w:color w:val="000000"/>
          <w:sz w:val="24"/>
          <w:szCs w:val="24"/>
        </w:rPr>
        <w:t>Stellungnahme zur Leistungsvereinbarung vor Abschluss durch die Rektorin oder den Rektor innerhalb von drei Wochen;</w:t>
      </w:r>
    </w:p>
    <w:p>
      <w:pPr>
        <w:pStyle w:val="TabellenInhalt"/>
        <w:pBdr/>
        <w:spacing w:before="40" w:after="0"/>
        <w:rPr>
          <w:rFonts w:ascii="arial" w:hAnsi="arial"/>
        </w:rPr>
      </w:pPr>
      <w:r>
        <w:rPr>
          <w:rFonts w:cs="Arial" w:ascii="arial" w:hAnsi="arial"/>
          <w:color w:val="000000"/>
          <w:sz w:val="24"/>
          <w:szCs w:val="24"/>
        </w:rPr>
        <w:t>16.</w:t>
      </w:r>
      <w:r>
        <w:rPr>
          <w:rFonts w:eastAsia="inherit" w:cs="Arial" w:ascii="arial" w:hAnsi="arial"/>
          <w:color w:val="000000"/>
          <w:sz w:val="24"/>
          <w:szCs w:val="24"/>
        </w:rPr>
        <w:tab/>
      </w:r>
      <w:r>
        <w:rPr>
          <w:rFonts w:cs="Arial" w:ascii="arial" w:hAnsi="arial"/>
          <w:color w:val="000000"/>
          <w:sz w:val="24"/>
          <w:szCs w:val="24"/>
        </w:rPr>
        <w:t>Erlassung der Geschäftsordnung des Universitätsrats.</w:t>
      </w:r>
    </w:p>
    <w:p>
      <w:pPr>
        <w:pStyle w:val="Normal"/>
        <w:rPr>
          <w:rFonts w:ascii="arial" w:hAnsi="arial" w:cs="Arial"/>
          <w:sz w:val="24"/>
          <w:szCs w:val="24"/>
        </w:rPr>
      </w:pPr>
      <w:r>
        <w:rPr>
          <w:rFonts w:cs="Arial" w:ascii="arial" w:hAnsi="arial"/>
          <w:sz w:val="24"/>
          <w:szCs w:val="24"/>
        </w:rPr>
      </w:r>
    </w:p>
    <w:p>
      <w:pPr>
        <w:pStyle w:val="Normal"/>
        <w:rPr>
          <w:rFonts w:ascii="arial" w:hAnsi="arial"/>
        </w:rPr>
      </w:pPr>
      <w:r>
        <w:rPr>
          <w:rFonts w:cs="Arial" w:ascii="arial" w:hAnsi="arial"/>
          <w:sz w:val="24"/>
          <w:szCs w:val="24"/>
        </w:rPr>
        <w:t xml:space="preserve">Es ist nicht einzusehen, mit welcher sachlichen Begründung gerade bei Universitäten von der im Gesellschaftsrecht gängigen und bewährten Praxis abgewichen wird und gerade den demokratisch gewählten Interessensvertreter*innen des Personals von strategisch wichtigen Wissensbetrieben dieses Kontroll- und Aufsichtsrecht nicht gegeben wird. </w:t>
      </w:r>
    </w:p>
    <w:p>
      <w:pPr>
        <w:pStyle w:val="Normal"/>
        <w:numPr>
          <w:ilvl w:val="0"/>
          <w:numId w:val="2"/>
        </w:numPr>
        <w:spacing w:before="0" w:after="160"/>
        <w:rPr>
          <w:rFonts w:ascii="arial" w:hAnsi="arial"/>
        </w:rPr>
      </w:pPr>
      <w:r>
        <w:rPr>
          <w:rFonts w:cs="Arial" w:ascii="arial" w:hAnsi="arial"/>
          <w:b/>
          <w:bCs/>
          <w:sz w:val="24"/>
          <w:szCs w:val="24"/>
        </w:rPr>
        <w:t>Die 175. Vollversammlung der AK Wien möge beschließen:</w:t>
        <w:br/>
        <w:br/>
        <w:t>Die Arbeiterkammer Wien setzt sich für eine Erweiterung des §21 des UG 2002 in dem Sinn ein, dass dem Universitätsrat verpflichtend auch die zur Außenvertretung bestimmten Vertreter*innen der Betriebsräte angehören müssen.</w:t>
      </w:r>
    </w:p>
    <w:sectPr>
      <w:type w:val="nextPage"/>
      <w:pgSz w:w="11906" w:h="16838"/>
      <w:pgMar w:left="1417" w:right="1417" w:header="0" w:top="1417" w:footer="0" w:bottom="1134" w:gutter="0"/>
      <w:pgNumType w:fmt="decimal"/>
      <w:formProt w:val="false"/>
      <w:textDirection w:val="lrTb"/>
      <w:docGrid w:type="default" w:linePitch="360" w:charSpace="42949648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OpenSymbol">
    <w:altName w:val="Arial Unicode MS"/>
    <w:charset w:val="01"/>
    <w:family w:val="auto"/>
    <w:pitch w:val="default"/>
  </w:font>
  <w:font w:name="OpenSymbol">
    <w:altName w:val="Arial Unicode MS"/>
    <w:charset w:val="02"/>
    <w:family w:val="auto"/>
    <w:pitch w:val="default"/>
  </w:font>
  <w:font w:name="FreeSans">
    <w:altName w:val="Yu Gothic"/>
    <w:charset w:val="01"/>
    <w:family w:val="roman"/>
    <w:pitch w:val="variable"/>
  </w:font>
  <w:font w:name="arial">
    <w:charset w:val="01"/>
    <w:family w:val="swiss"/>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Berschrift5"/>
      <w:numFmt w:val="none"/>
      <w:suff w:val="nothing"/>
      <w:lvlText w:val=""/>
      <w:lvlJc w:val="left"/>
      <w:pPr>
        <w:ind w:left="1008" w:hanging="1008"/>
      </w:pPr>
      <w:r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 w:val="24"/>
        <w:szCs w:val="24"/>
        <w:lang w:val="de-AT" w:eastAsia="zh-CN" w:bidi="hi-IN"/>
      </w:rPr>
    </w:rPrDefault>
    <w:pPrDefault>
      <w:pPr/>
    </w:pPrDefault>
  </w:docDefaults>
  <w:style w:type="paragraph" w:styleId="Normal">
    <w:name w:val="Normal"/>
    <w:qFormat/>
    <w:pPr>
      <w:widowControl/>
      <w:suppressAutoHyphens w:val="true"/>
      <w:bidi w:val="0"/>
      <w:spacing w:lineRule="auto" w:line="252" w:before="0" w:after="160"/>
    </w:pPr>
    <w:rPr>
      <w:rFonts w:ascii="Calibri" w:hAnsi="Calibri" w:eastAsia="SimSun;宋体" w:cs=";Calibri"/>
      <w:color w:val="auto"/>
      <w:sz w:val="22"/>
      <w:szCs w:val="22"/>
      <w:lang w:val="de-AT" w:bidi="ar-SA" w:eastAsia="zh-CN"/>
    </w:rPr>
  </w:style>
  <w:style w:type="paragraph" w:styleId="Berschrift5">
    <w:name w:val="Heading 5"/>
    <w:basedOn w:val="Berschrift"/>
    <w:next w:val="Textkrper"/>
    <w:qFormat/>
    <w:pPr>
      <w:numPr>
        <w:ilvl w:val="4"/>
        <w:numId w:val="1"/>
      </w:numPr>
      <w:outlineLvl w:val="4"/>
    </w:pPr>
    <w:rPr>
      <w:rFonts w:ascii="Times New Roman" w:hAnsi="Times New Roman" w:eastAsia="Lucida Sans Unicode" w:cs="Tahoma"/>
      <w:b/>
      <w:bCs/>
      <w:sz w:val="20"/>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Calibri"/>
    </w:rPr>
  </w:style>
  <w:style w:type="character" w:styleId="WW8Num2z1">
    <w:name w:val="WW8Num2z1"/>
    <w:qFormat/>
    <w:rPr>
      <w:rFonts w:ascii="OpenSymbol;Calibri" w:hAnsi="OpenSymbol;Calibri" w:cs="OpenSymbol;Calibri"/>
    </w:rPr>
  </w:style>
  <w:style w:type="character" w:styleId="AbsatzStandardschriftart">
    <w:name w:val="Absatz-Standardschriftart"/>
    <w:qFormat/>
    <w:rPr/>
  </w:style>
  <w:style w:type="character" w:styleId="DefaultParagraphFont">
    <w:name w:val="Default Paragraph Font"/>
    <w:qFormat/>
    <w:rPr/>
  </w:style>
  <w:style w:type="character" w:styleId="Internetverknpfung">
    <w:name w:val="Internetverknüpfung"/>
    <w:rPr>
      <w:color w:val="0563C1"/>
      <w:u w:val="single"/>
      <w:lang w:val="zxx" w:bidi="zxx"/>
    </w:rPr>
  </w:style>
  <w:style w:type="character" w:styleId="UnresolvedMention">
    <w:name w:val="Unresolved Mention"/>
    <w:qFormat/>
    <w:rPr>
      <w:color w:val="605E5C"/>
    </w:rPr>
  </w:style>
  <w:style w:type="character" w:styleId="Aufzhlungszeichen1">
    <w:name w:val="Aufzählungszeichen1"/>
    <w:qFormat/>
    <w:rPr>
      <w:rFonts w:ascii="OpenSymbol;Calibri" w:hAnsi="OpenSymbol;Calibri" w:eastAsia="OpenSymbol;Calibri" w:cs="OpenSymbol;Calibri"/>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Arial" w:hAnsi="Arial" w:eastAsia="Microsoft YaHei" w:cs="Lucida Sans"/>
      <w:sz w:val="28"/>
      <w:szCs w:val="28"/>
    </w:rPr>
  </w:style>
  <w:style w:type="paragraph" w:styleId="Textkrper">
    <w:name w:val="Body Text"/>
    <w:basedOn w:val="Normal"/>
    <w:pPr>
      <w:spacing w:before="0" w:after="12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TabellenInhalt">
    <w:name w:val="Tabellen Inhalt"/>
    <w:basedOn w:val="Normal"/>
    <w:qFormat/>
    <w:pPr>
      <w:suppressLineNumbers/>
    </w:pPr>
    <w:rPr/>
  </w:style>
  <w:style w:type="paragraph" w:styleId="Tabellenberschrift">
    <w:name w:val="Tabellen Überschrift"/>
    <w:basedOn w:val="TabellenInhalt"/>
    <w:qFormat/>
    <w:pPr>
      <w:suppressLineNumbers/>
      <w:jc w:val="center"/>
    </w:pPr>
    <w:rPr>
      <w:b/>
      <w:bCs/>
    </w:rPr>
  </w:style>
  <w:style w:type="paragraph" w:styleId="Antragberschrift">
    <w:name w:val="Antrag Überschrift"/>
    <w:basedOn w:val="Normal"/>
    <w:qFormat/>
    <w:pPr>
      <w:ind w:left="0" w:right="0" w:hanging="0"/>
    </w:pPr>
    <w:rPr>
      <w:rFonts w:ascii="FreeSans;Yu Gothic" w:hAnsi="FreeSans;Yu Gothic" w:cs="FreeSans;Yu Gothic"/>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LibreOffice/6.0.7.3$Linux_X86_64 LibreOffice_project/00m0$Build-3</Application>
  <Pages>2</Pages>
  <Words>575</Words>
  <Characters>3946</Characters>
  <CharactersWithSpaces>4505</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2021-01-26T18:37:00Z</dcterms:created>
  <dc:creator>Marion  Polaschek</dc:creator>
  <dc:description/>
  <cp:keywords/>
  <dc:language>de-AT</dc:language>
  <cp:lastModifiedBy/>
  <dcterms:modified xsi:type="dcterms:W3CDTF">2021-04-21T10:32:19Z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