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18360" cy="101663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2" t="-413" r="-2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/>
      </w:pPr>
      <w:r>
        <w:rPr>
          <w:rFonts w:eastAsia="FreeSans" w:cs="Arial" w:ascii="Arial" w:hAnsi="Arial"/>
          <w:sz w:val="24"/>
        </w:rPr>
        <w:t>Antrag 11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cs="Arial" w:ascii="Arial" w:hAnsi="Arial"/>
          <w:sz w:val="24"/>
        </w:rPr>
        <w:t>der</w:t>
      </w:r>
      <w:r>
        <w:rPr>
          <w:rFonts w:eastAsia="FreeSans" w:cs="Arial" w:ascii="Arial" w:hAnsi="Arial"/>
          <w:sz w:val="24"/>
        </w:rPr>
        <w:t xml:space="preserve"> </w:t>
      </w:r>
      <w:r>
        <w:rPr>
          <w:rFonts w:cs="Arial" w:ascii="Arial" w:hAnsi="Arial"/>
          <w:b/>
          <w:sz w:val="24"/>
        </w:rPr>
        <w:t>AUGE/UG</w:t>
      </w:r>
      <w:r>
        <w:rPr>
          <w:rFonts w:eastAsia="FreeSans" w:cs="Arial" w:ascii="Arial" w:hAnsi="Arial"/>
          <w:b/>
          <w:sz w:val="24"/>
        </w:rPr>
        <w:t xml:space="preserve"> </w:t>
      </w:r>
      <w:r>
        <w:rPr>
          <w:rFonts w:cs="Arial" w:ascii="Arial" w:hAnsi="Arial"/>
          <w:b/>
          <w:sz w:val="24"/>
        </w:rPr>
        <w:t>-</w:t>
      </w:r>
    </w:p>
    <w:p>
      <w:pPr>
        <w:pStyle w:val="Normal"/>
        <w:rPr>
          <w:rFonts w:ascii="Arial" w:hAnsi="Arial"/>
          <w:sz w:val="24"/>
        </w:rPr>
      </w:pPr>
      <w:r>
        <w:rPr>
          <w:rFonts w:cs="Arial" w:ascii="Arial" w:hAnsi="Arial"/>
          <w:b/>
          <w:bCs/>
          <w:sz w:val="24"/>
        </w:rPr>
        <w:t>Alternative,</w:t>
      </w:r>
      <w:r>
        <w:rPr>
          <w:rFonts w:eastAsia="FreeSans" w:cs="Arial" w:ascii="Arial" w:hAnsi="Arial"/>
          <w:b/>
          <w:bCs/>
          <w:sz w:val="24"/>
        </w:rPr>
        <w:t xml:space="preserve"> </w:t>
      </w:r>
      <w:r>
        <w:rPr>
          <w:rFonts w:cs="Arial" w:ascii="Arial" w:hAnsi="Arial"/>
          <w:b/>
          <w:bCs/>
          <w:sz w:val="24"/>
        </w:rPr>
        <w:t>Grüne</w:t>
      </w:r>
      <w:r>
        <w:rPr>
          <w:rFonts w:eastAsia="FreeSans" w:cs="Arial" w:ascii="Arial" w:hAnsi="Arial"/>
          <w:b/>
          <w:bCs/>
          <w:sz w:val="24"/>
        </w:rPr>
        <w:t xml:space="preserve"> und Unabhängige </w:t>
      </w:r>
      <w:r>
        <w:rPr>
          <w:rFonts w:cs="Arial" w:ascii="Arial" w:hAnsi="Arial"/>
          <w:b/>
          <w:bCs/>
          <w:sz w:val="24"/>
        </w:rPr>
        <w:t>GewerkschafterInnen</w:t>
      </w:r>
    </w:p>
    <w:p>
      <w:pPr>
        <w:pStyle w:val="Antragberschrift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cs="Arial" w:ascii="Arial" w:hAnsi="Arial"/>
          <w:sz w:val="24"/>
        </w:rPr>
        <w:t>zur</w:t>
      </w:r>
      <w:r>
        <w:rPr>
          <w:rFonts w:eastAsia="FreeSans" w:cs="Arial" w:ascii="Arial" w:hAnsi="Arial"/>
          <w:sz w:val="24"/>
        </w:rPr>
        <w:t xml:space="preserve"> 175</w:t>
      </w:r>
      <w:r>
        <w:rPr>
          <w:rFonts w:cs="Arial" w:ascii="Arial" w:hAnsi="Arial"/>
          <w:sz w:val="24"/>
        </w:rPr>
        <w:t>.</w:t>
      </w:r>
      <w:r>
        <w:rPr>
          <w:rFonts w:eastAsia="FreeSans" w:cs="Arial" w:ascii="Arial" w:hAnsi="Arial"/>
          <w:sz w:val="24"/>
        </w:rPr>
        <w:t xml:space="preserve"> Vollversammlung </w:t>
      </w:r>
      <w:r>
        <w:rPr>
          <w:rFonts w:cs="Arial" w:ascii="Arial" w:hAnsi="Arial"/>
          <w:sz w:val="24"/>
        </w:rPr>
        <w:t>der</w:t>
      </w:r>
      <w:r>
        <w:rPr>
          <w:rFonts w:eastAsia="FreeSans" w:cs="Arial" w:ascii="Arial" w:hAnsi="Arial"/>
          <w:sz w:val="24"/>
        </w:rPr>
        <w:t xml:space="preserve"> A</w:t>
      </w:r>
      <w:r>
        <w:rPr>
          <w:rFonts w:cs="Arial" w:ascii="Arial" w:hAnsi="Arial"/>
          <w:sz w:val="24"/>
        </w:rPr>
        <w:t>rbeiterkammer</w:t>
      </w:r>
      <w:r>
        <w:rPr>
          <w:rFonts w:eastAsia="FreeSans"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Wien</w:t>
      </w:r>
    </w:p>
    <w:p>
      <w:pPr>
        <w:pStyle w:val="Normal"/>
        <w:rPr>
          <w:rFonts w:ascii="Arial" w:hAnsi="Arial"/>
          <w:sz w:val="24"/>
        </w:rPr>
      </w:pPr>
      <w:r>
        <w:rPr>
          <w:rFonts w:cs="Arial" w:ascii="Arial" w:hAnsi="Arial"/>
          <w:sz w:val="24"/>
        </w:rPr>
        <w:t>am</w:t>
      </w:r>
      <w:r>
        <w:rPr>
          <w:rFonts w:eastAsia="FreeSans" w:cs="Arial" w:ascii="Arial" w:hAnsi="Arial"/>
          <w:sz w:val="24"/>
        </w:rPr>
        <w:t xml:space="preserve"> 5. Mai 2021</w:t>
      </w:r>
    </w:p>
    <w:p>
      <w:pPr>
        <w:pStyle w:val="Normal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rFonts w:ascii="Arial" w:hAnsi="Arial"/>
          <w:b/>
          <w:sz w:val="24"/>
        </w:rPr>
        <w:t>Kein Aushebeln des § 101 Arbeitsverfassungsgesetz „verschlechternde Versetzungen“</w:t>
      </w:r>
    </w:p>
    <w:p>
      <w:pPr>
        <w:pStyle w:val="Normal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rFonts w:ascii="Arial" w:hAnsi="Arial"/>
          <w:sz w:val="24"/>
        </w:rPr>
        <w:t>In den letzten Jahren ist immer öfter ein Aushebeln der Mitwirkungsrechte des Betriebsrates bei Versetzungen durch die Arbeitgeber*innen, insbesondere im Dienstleistungsbereich, festzustellen. § 101 ArbVG stellt fest: „Ist mit der Einreihung auf einen anderen Arbeitsplatz eine Verschlechterung der Entgelt- oder sonstigen Arbeitsbedingungen verbunden, so bedarf sie zu ihrer Rechtswirksamkeit der Zustimmung des Betriebsrates.“</w:t>
      </w:r>
    </w:p>
    <w:p>
      <w:pPr>
        <w:pStyle w:val="Normal"/>
        <w:spacing w:lineRule="auto" w:line="24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rFonts w:ascii="Arial" w:hAnsi="Arial"/>
          <w:sz w:val="24"/>
        </w:rPr>
        <w:t>Stimmt der Betriebsrat einer Entgeltreduktion nicht zu, wird oft seitens der Arbeitgeber*innen dem/der betroffenen Arbeitnehmer/in angedroht, eine Änderungskündigung zu noch schlechteren Bedingungen durchzusetzen, als bei der zuvor angedrohten verschlechternden Versetzung vorgesehen war. Dadurch wird die Schutzbestimmung des § 101 ausgehebelt.</w:t>
      </w:r>
    </w:p>
    <w:p>
      <w:pPr>
        <w:pStyle w:val="Normal"/>
        <w:spacing w:lineRule="auto" w:line="24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rFonts w:ascii="Arial" w:hAnsi="Arial"/>
          <w:sz w:val="24"/>
        </w:rPr>
        <w:t xml:space="preserve">Die wenigsten Arbeitnehmer*innen sind danach bereit, diese offensichtliche Benachteiligung vor Gericht zu bekämpfen. Zudem dürfte die Judikatur nicht gerade arbeitnehmer*innen-freundlich sein. Die Arbeits- und Sozialgerichte dürften in der Regel, im Falle der Ablehnung des Betriebsrates zur verschlechternden Versetzung, eine Gehaltsreduktion von 15 bis 20 Prozent als akzeptabel betrachten und eine Klage des/der Arbeitnehmer*in abweisen. Insofern muss der/die betroffene Arbeitnehmer*in in jedem Fall eine Gehaltsreduktion akzeptieren, wenn sie/er den Job nicht verlieren möchte. </w:t>
      </w:r>
    </w:p>
    <w:p>
      <w:pPr>
        <w:pStyle w:val="Normal"/>
        <w:spacing w:lineRule="auto" w:line="24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rFonts w:ascii="Arial" w:hAnsi="Arial"/>
          <w:sz w:val="24"/>
        </w:rPr>
        <w:t xml:space="preserve">Bei diesem Aushebeln handelt es sich geradezu um ein Paradebeispiel von struktureller Macht der Arbeitgeber*innen im österreichischen Rechtssystem. Der Zynismus dieser Arbeitgeber*innen wird noch weiter auf die Spitze getrieben, wenn sich die schon positive Ertragslage der betroffenen Unternehmen weiter erhöht haben und gleichzeitig Gehaltsreduktionen bei den Arbeitnehmer*innen durchgesetzt werden. </w:t>
      </w:r>
    </w:p>
    <w:p>
      <w:pPr>
        <w:pStyle w:val="Normal"/>
        <w:spacing w:lineRule="auto" w:line="24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Die 175. Vollversammlung der Arbeiterkammer Wien möge daher beschließen: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rFonts w:ascii="Arial" w:hAnsi="Arial"/>
          <w:b/>
          <w:bCs/>
          <w:sz w:val="24"/>
        </w:rPr>
        <w:t>Die Arbeiterkammer Wien setzt sich dafür ein</w:t>
      </w:r>
      <w:r>
        <w:rPr>
          <w:rFonts w:ascii="Arial" w:hAnsi="Arial"/>
          <w:b/>
          <w:sz w:val="24"/>
        </w:rPr>
        <w:t>, diese Praxis der Aushebelung der Mitwirkungsrechte des Betriebsrates bei Versetzungen durch geeignete rechtliche aber auch politische Maßnahmen zu unterbinden.</w:t>
      </w:r>
    </w:p>
    <w:sectPr>
      <w:type w:val="nextPage"/>
      <w:pgSz w:w="12240" w:h="15840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FreeSans">
    <w:altName w:val="Yu Gothic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2394"/>
    <w:pPr>
      <w:widowControl/>
      <w:suppressAutoHyphens w:val="false"/>
      <w:bidi w:val="0"/>
      <w:spacing w:lineRule="auto" w:line="360"/>
      <w:jc w:val="left"/>
    </w:pPr>
    <w:rPr>
      <w:rFonts w:ascii="Times New Roman" w:hAnsi="Times New Roman" w:eastAsia="Times New Roman" w:cs="Times New Roman"/>
      <w:iCs/>
      <w:color w:val="auto"/>
      <w:kern w:val="0"/>
      <w:sz w:val="16"/>
      <w:szCs w:val="24"/>
      <w:lang w:val="de-AT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38487a"/>
    <w:rPr>
      <w:rFonts w:ascii="Segoe UI" w:hAnsi="Segoe UI" w:eastAsia="Times New Roman" w:cs="Segoe UI"/>
      <w:iCs/>
      <w:sz w:val="18"/>
      <w:szCs w:val="18"/>
      <w:lang w:val="de-AT" w:eastAsia="de-DE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ascii="Arial" w:hAnsi="Arial" w:cs="OpenSymbol"/>
      <w:sz w:val="24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sz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38487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tragberschrift" w:customStyle="1">
    <w:name w:val="Antrag Überschrift"/>
    <w:basedOn w:val="Normal"/>
    <w:qFormat/>
    <w:pPr/>
    <w:rPr>
      <w:rFonts w:ascii="FreeSans;Yu Gothic" w:hAnsi="FreeSans;Yu Gothic" w:cs="FreeSans;Yu Gothic"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278</Words>
  <Characters>1988</Characters>
  <CharactersWithSpaces>2255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2021-03-29T09:25:00Z</dcterms:created>
  <dc:creator>User</dc:creator>
  <dc:description/>
  <dc:language>de-AT</dc:language>
  <cp:lastModifiedBy/>
  <cp:lastPrinted>2021-04-01T08:35:00Z</cp:lastPrinted>
  <dcterms:modified xsi:type="dcterms:W3CDTF">2021-04-21T10:46:39Z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